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47B1CCC3" w:rsidR="00045AA3" w:rsidRPr="000C5734" w:rsidRDefault="00045AA3" w:rsidP="00045AA3">
      <w:pPr>
        <w:pStyle w:val="3GPPHeader"/>
        <w:rPr>
          <w:highlight w:val="yellow"/>
          <w:lang w:val="en-US"/>
        </w:rPr>
      </w:pPr>
      <w:bookmarkStart w:id="0" w:name="_GoBack"/>
      <w:bookmarkEnd w:id="0"/>
      <w:r w:rsidRPr="000C5734">
        <w:rPr>
          <w:lang w:val="en-US"/>
        </w:rPr>
        <w:t xml:space="preserve">3GPP TSG RAN WG1 Meeting </w:t>
      </w:r>
      <w:r>
        <w:rPr>
          <w:lang w:val="en-US"/>
        </w:rPr>
        <w:t>#92</w:t>
      </w:r>
      <w:r w:rsidR="00E90812">
        <w:rPr>
          <w:lang w:val="en-US"/>
        </w:rPr>
        <w:t>bis</w:t>
      </w:r>
      <w:r w:rsidRPr="000C5734">
        <w:rPr>
          <w:lang w:val="en-US"/>
        </w:rPr>
        <w:tab/>
      </w:r>
      <w:r w:rsidR="005A4BE1" w:rsidRPr="005A4BE1">
        <w:rPr>
          <w:lang w:val="en-US"/>
        </w:rPr>
        <w:t>R1-1804988</w:t>
      </w:r>
    </w:p>
    <w:p w14:paraId="43AE20FE" w14:textId="181B41F3" w:rsidR="00045AA3" w:rsidRPr="007679B0" w:rsidRDefault="00E90812" w:rsidP="00045AA3">
      <w:pPr>
        <w:pStyle w:val="3GPPHeader"/>
        <w:rPr>
          <w:lang w:val="en-US"/>
        </w:rPr>
      </w:pPr>
      <w:r>
        <w:rPr>
          <w:lang w:val="en-US"/>
        </w:rPr>
        <w:t>Sanya</w:t>
      </w:r>
      <w:r w:rsidR="00045AA3" w:rsidRPr="000C5734">
        <w:rPr>
          <w:lang w:val="en-US"/>
        </w:rPr>
        <w:t>,</w:t>
      </w:r>
      <w:r>
        <w:rPr>
          <w:lang w:val="en-US"/>
        </w:rPr>
        <w:t xml:space="preserve"> China,</w:t>
      </w:r>
      <w:r w:rsidR="00045AA3" w:rsidRPr="000C5734">
        <w:rPr>
          <w:lang w:val="en-US"/>
        </w:rPr>
        <w:t xml:space="preserve"> </w:t>
      </w:r>
      <w:r>
        <w:rPr>
          <w:lang w:val="en-US"/>
        </w:rPr>
        <w:t>16</w:t>
      </w:r>
      <w:r w:rsidRPr="00E90812">
        <w:rPr>
          <w:vertAlign w:val="superscript"/>
          <w:lang w:val="en-US"/>
        </w:rPr>
        <w:t>th</w:t>
      </w:r>
      <w:r>
        <w:rPr>
          <w:lang w:val="en-US"/>
        </w:rPr>
        <w:t>-20</w:t>
      </w:r>
      <w:r w:rsidRPr="00E90812">
        <w:rPr>
          <w:vertAlign w:val="superscript"/>
          <w:lang w:val="en-US"/>
        </w:rPr>
        <w:t>th</w:t>
      </w:r>
      <w:r>
        <w:rPr>
          <w:lang w:val="en-US"/>
        </w:rPr>
        <w:t xml:space="preserve"> April</w:t>
      </w:r>
      <w:r w:rsidR="00045AA3" w:rsidRPr="000C5734">
        <w:rPr>
          <w:lang w:val="en-US"/>
        </w:rPr>
        <w:t>,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34322CF8" w:rsidR="00904CFD" w:rsidRPr="00327997" w:rsidRDefault="00904CFD" w:rsidP="00904CFD">
      <w:pPr>
        <w:pStyle w:val="3GPPHeader"/>
      </w:pPr>
      <w:r w:rsidRPr="00327997">
        <w:t>Title:</w:t>
      </w:r>
      <w:r w:rsidRPr="00327997">
        <w:tab/>
      </w:r>
      <w:r w:rsidR="00E679E2">
        <w:t>Analysis of periodic vs aperiodic TRS</w:t>
      </w:r>
    </w:p>
    <w:p w14:paraId="00EFAC0D" w14:textId="51044C2C" w:rsidR="00904CFD" w:rsidRPr="00327997" w:rsidRDefault="00904CFD" w:rsidP="00904CFD">
      <w:pPr>
        <w:pStyle w:val="3GPPHeader"/>
      </w:pPr>
      <w:r w:rsidRPr="00B035EB">
        <w:t>Agenda Item:</w:t>
      </w:r>
      <w:r w:rsidRPr="00B035EB">
        <w:tab/>
        <w:t>7.</w:t>
      </w:r>
      <w:r w:rsidR="00045AA3" w:rsidRPr="00B035EB">
        <w:t>1.</w:t>
      </w:r>
      <w:r w:rsidRPr="00B035EB">
        <w:t>2.</w:t>
      </w:r>
      <w:r w:rsidR="00B035EB" w:rsidRPr="00B035EB">
        <w:t>3</w:t>
      </w:r>
      <w:r w:rsidR="00AC4658" w:rsidRPr="00B035EB">
        <w:t>.</w:t>
      </w:r>
      <w:r w:rsidR="00B035EB" w:rsidRPr="00B035EB">
        <w:t>8</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03CCCAEF" w:rsidR="00E90E49" w:rsidRDefault="00147EF5" w:rsidP="00CE0424">
      <w:pPr>
        <w:pStyle w:val="Heading1"/>
      </w:pPr>
      <w:r>
        <w:t>Summary</w:t>
      </w:r>
    </w:p>
    <w:p w14:paraId="7A5BED7B" w14:textId="77777777" w:rsidR="00E679E2" w:rsidRPr="00753603" w:rsidRDefault="00E679E2" w:rsidP="00E679E2">
      <w:pPr>
        <w:rPr>
          <w:lang w:val="en-US"/>
        </w:rPr>
      </w:pPr>
      <w:r w:rsidRPr="00753603">
        <w:rPr>
          <w:lang w:val="en-US"/>
        </w:rPr>
        <w:t xml:space="preserve">At high carrier frequencies the TRS needs to be beamformed to achieve coverage and in order to be QCL with PDSCH </w:t>
      </w:r>
      <w:r>
        <w:rPr>
          <w:lang w:val="en-US"/>
        </w:rPr>
        <w:t xml:space="preserve">DMRS </w:t>
      </w:r>
      <w:r w:rsidRPr="00753603">
        <w:rPr>
          <w:lang w:val="en-US"/>
        </w:rPr>
        <w:t>with respect to delay spread, delay, Doppler spread and Doppler shift. This means that UEs can’t share one common periodic TRS. Instead multiple TRS’s are needed which drives the TRS overhead</w:t>
      </w:r>
      <w:r>
        <w:rPr>
          <w:lang w:val="en-US"/>
        </w:rPr>
        <w:t xml:space="preserve"> up</w:t>
      </w:r>
      <w:r w:rsidRPr="00753603">
        <w:rPr>
          <w:lang w:val="en-US"/>
        </w:rPr>
        <w:t>. For “analog” beamforming the fact that transmissions can only be made in one beam direction (or with multiple antenna panels, in a limited number of beam directions) per OFDM symbol creates scheduling restrictions, making it impossible to utilize unused subcarriers in symbols used for transmission of the TRS unless the TRS share the same “analog” beam as PDSCH.</w:t>
      </w:r>
    </w:p>
    <w:p w14:paraId="33B273A8" w14:textId="0D3714C9" w:rsidR="00E679E2" w:rsidRPr="00753603" w:rsidRDefault="00E679E2" w:rsidP="00E679E2">
      <w:pPr>
        <w:rPr>
          <w:rFonts w:eastAsiaTheme="minorEastAsia"/>
          <w:lang w:val="en-US"/>
        </w:rPr>
      </w:pPr>
      <w:r w:rsidRPr="00753603">
        <w:rPr>
          <w:rFonts w:eastAsiaTheme="minorEastAsia"/>
          <w:lang w:val="en-US"/>
        </w:rPr>
        <w:t xml:space="preserve">In sections </w:t>
      </w:r>
      <w:r>
        <w:rPr>
          <w:rFonts w:eastAsiaTheme="minorEastAsia"/>
          <w:lang w:val="en-US"/>
        </w:rPr>
        <w:t>2,3 and 4</w:t>
      </w:r>
      <w:r w:rsidRPr="00753603">
        <w:rPr>
          <w:rFonts w:eastAsiaTheme="minorEastAsia"/>
          <w:lang w:val="en-US"/>
        </w:rPr>
        <w:t xml:space="preserve"> below we discuss three different options for how to deploy TRS in mmW bands using high-gain beamforming for transmitting PDSCH. Two options based on periodic TRS are compared with one option based on DCI scheduled aperiodic TRS.</w:t>
      </w:r>
      <w:r w:rsidRPr="00753603" w:rsidDel="001507A9">
        <w:rPr>
          <w:rFonts w:eastAsiaTheme="minorEastAsia"/>
          <w:lang w:val="en-US"/>
        </w:rPr>
        <w:t xml:space="preserve"> </w:t>
      </w:r>
      <w:r w:rsidRPr="00753603">
        <w:rPr>
          <w:rFonts w:eastAsiaTheme="minorEastAsia"/>
          <w:lang w:val="en-US"/>
        </w:rPr>
        <w:t xml:space="preserve">The comparison is made based on a framework for overhead calculations outlined in Appendix A. For simplicity the overhead and scheduling restriction numbers in sections </w:t>
      </w:r>
      <w:r>
        <w:rPr>
          <w:rFonts w:eastAsiaTheme="minorEastAsia"/>
          <w:lang w:val="en-US"/>
        </w:rPr>
        <w:t>2,3</w:t>
      </w:r>
      <w:r w:rsidRPr="00753603">
        <w:rPr>
          <w:rFonts w:eastAsiaTheme="minorEastAsia"/>
          <w:lang w:val="en-US"/>
        </w:rPr>
        <w:t xml:space="preserve"> and </w:t>
      </w:r>
      <w:r>
        <w:rPr>
          <w:rFonts w:eastAsiaTheme="minorEastAsia"/>
          <w:lang w:val="en-US"/>
        </w:rPr>
        <w:t>4</w:t>
      </w:r>
      <w:r w:rsidRPr="00753603">
        <w:rPr>
          <w:rFonts w:eastAsiaTheme="minorEastAsia"/>
          <w:lang w:val="en-US"/>
        </w:rPr>
        <w:t xml:space="preserve"> below are given for the case of 120kHz subcarrier spacing, 20ms TRS periodicity and one slot TRS-burst. As described in section </w:t>
      </w:r>
      <w:r w:rsidR="00147EF5">
        <w:rPr>
          <w:rFonts w:eastAsiaTheme="minorEastAsia"/>
          <w:lang w:val="en-US"/>
        </w:rPr>
        <w:t>5</w:t>
      </w:r>
      <w:r>
        <w:rPr>
          <w:rFonts w:eastAsiaTheme="minorEastAsia"/>
          <w:lang w:val="en-US"/>
        </w:rPr>
        <w:t>,</w:t>
      </w:r>
      <w:r w:rsidRPr="00753603">
        <w:rPr>
          <w:rFonts w:eastAsiaTheme="minorEastAsia"/>
          <w:lang w:val="en-US"/>
        </w:rPr>
        <w:t xml:space="preserve"> the overhead and scheduling restriction numbers are, however, easily rescaled to arbitrary subcarrier spacing and TRS configurations.</w:t>
      </w:r>
    </w:p>
    <w:p w14:paraId="3E70067F" w14:textId="328C3393" w:rsidR="00E679E2" w:rsidRPr="00147EF5" w:rsidRDefault="00E679E2" w:rsidP="00147EF5">
      <w:pPr>
        <w:ind w:firstLine="567"/>
        <w:rPr>
          <w:i/>
          <w:lang w:val="en-US"/>
        </w:rPr>
      </w:pPr>
      <w:r w:rsidRPr="00147EF5">
        <w:rPr>
          <w:rFonts w:eastAsiaTheme="minorEastAsia"/>
          <w:b/>
          <w:i/>
          <w:lang w:val="en-US"/>
        </w:rPr>
        <w:t>It is shown that aperiodic TRS is superior to periodic TRS for high gain beamforming</w:t>
      </w:r>
      <w:r w:rsidRPr="00147EF5">
        <w:rPr>
          <w:rFonts w:eastAsiaTheme="minorEastAsia"/>
          <w:i/>
          <w:lang w:val="en-US"/>
        </w:rPr>
        <w:t xml:space="preserve">. </w:t>
      </w:r>
    </w:p>
    <w:p w14:paraId="6AB60E2D" w14:textId="5EF28B3D" w:rsidR="00E679E2" w:rsidRDefault="00E679E2" w:rsidP="00E679E2">
      <w:pPr>
        <w:rPr>
          <w:lang w:val="en-US"/>
        </w:rPr>
      </w:pPr>
      <w:r w:rsidRPr="00753603">
        <w:rPr>
          <w:lang w:val="en-US"/>
        </w:rPr>
        <w:t xml:space="preserve">In section </w:t>
      </w:r>
      <w:r w:rsidR="00147EF5">
        <w:rPr>
          <w:lang w:val="en-US"/>
        </w:rPr>
        <w:t>6</w:t>
      </w:r>
      <w:r w:rsidRPr="00753603">
        <w:rPr>
          <w:lang w:val="en-US"/>
        </w:rPr>
        <w:t xml:space="preserve"> below we note that the aperiodic TRS has the additional benefit of reducing SCell activation delays.</w:t>
      </w:r>
    </w:p>
    <w:p w14:paraId="0ABD5971" w14:textId="3C8D5B02" w:rsidR="00E679E2" w:rsidRDefault="00E679E2" w:rsidP="00E679E2">
      <w:pPr>
        <w:rPr>
          <w:lang w:val="en-US"/>
        </w:rPr>
      </w:pPr>
      <w:r>
        <w:rPr>
          <w:lang w:val="en-US"/>
        </w:rPr>
        <w:t>Finally, the aperiodic TRS is superior to the periodic TRS for TDD operation in that it can easily make use of available DL slots for TRS burst transmissions with very moderate restrictions on the UL-DL switching pattern; it only requires DL slots to be available frequently enough to provide opportunities for UE frequency synchronization. Thus, semi static UL-DL switching periodicity does not have to aligned with TRS burst transmission.</w:t>
      </w:r>
    </w:p>
    <w:p w14:paraId="15E93CD6" w14:textId="32B7CF97" w:rsidR="008A3CFB" w:rsidRPr="004F0659" w:rsidRDefault="004F0659" w:rsidP="00E679E2">
      <w:r>
        <w:rPr>
          <w:lang w:val="en-US"/>
        </w:rPr>
        <w:t>M</w:t>
      </w:r>
      <w:r w:rsidRPr="001C37E7">
        <w:t xml:space="preserve">any companies </w:t>
      </w:r>
      <w:r>
        <w:t xml:space="preserve">have </w:t>
      </w:r>
      <w:r w:rsidRPr="001C37E7">
        <w:t xml:space="preserve">noted that the periodic TRS concept doesn’t scale well for large numbers of beams and analog beamforming at high frequencies and </w:t>
      </w:r>
      <w:r>
        <w:t xml:space="preserve">have </w:t>
      </w:r>
      <w:r w:rsidRPr="001C37E7">
        <w:t xml:space="preserve">proposed different improved concepts. Nokia, Nokia Shanghai Bell, ZTE and Sanechips argued for a solution re-using the same CSI-RS resources both for beam management and for fine frequency and time tracking </w:t>
      </w:r>
      <w:r w:rsidRPr="00395913">
        <w:t>[1,2]</w:t>
      </w:r>
      <w:r w:rsidRPr="001C37E7">
        <w:t xml:space="preserve">. In </w:t>
      </w:r>
      <w:r>
        <w:t xml:space="preserve">[3], </w:t>
      </w:r>
      <w:r w:rsidRPr="001C37E7">
        <w:t xml:space="preserve">Ericsson proposed to FDM the TRS with the SS-block and utilize the SS-block and TRS reference symbols in combination for fine frequency and time tracking. In </w:t>
      </w:r>
      <w:r>
        <w:t>[4], Q</w:t>
      </w:r>
      <w:r w:rsidRPr="001C37E7">
        <w:t>ualcomm proposed the use of a DCI scheduled aperiodic TRS.</w:t>
      </w:r>
      <w:r>
        <w:t xml:space="preserve"> Based on the </w:t>
      </w:r>
      <w:r w:rsidRPr="00402A41">
        <w:t xml:space="preserve">analysis </w:t>
      </w:r>
      <w:r>
        <w:t xml:space="preserve">below </w:t>
      </w:r>
      <w:r w:rsidRPr="00402A41">
        <w:t>we find that the solution based on a DCI scheduled aperiodic TRS is clearly the superior solution. It is the only solution that fully scales with the number of beams. It makes it possible to use the same beams for the TRS as for data ensuring perfect QCL properties. It is easy to implement from both a UE and network perspective</w:t>
      </w:r>
      <w:r>
        <w:t xml:space="preserve"> and the remaining specification effort is minimal</w:t>
      </w:r>
      <w:r w:rsidRPr="00402A41">
        <w:t>.</w:t>
      </w:r>
    </w:p>
    <w:p w14:paraId="58ADCEA3" w14:textId="77777777" w:rsidR="000B389B" w:rsidRPr="00402A41" w:rsidRDefault="000B389B" w:rsidP="00E679E2">
      <w:pPr>
        <w:pStyle w:val="Heading1"/>
        <w:rPr>
          <w:rFonts w:eastAsiaTheme="minorEastAsia"/>
          <w:lang w:val="en-US"/>
        </w:rPr>
      </w:pPr>
      <w:bookmarkStart w:id="1" w:name="_Ref178064866"/>
      <w:r w:rsidRPr="00402A41">
        <w:rPr>
          <w:rFonts w:eastAsiaTheme="minorEastAsia"/>
          <w:lang w:val="en-US"/>
        </w:rPr>
        <w:t>UE specific periodic TRS</w:t>
      </w:r>
    </w:p>
    <w:p w14:paraId="1EDD1EA1" w14:textId="77777777" w:rsidR="000B389B" w:rsidRPr="00753603" w:rsidRDefault="000B389B" w:rsidP="000B389B">
      <w:pPr>
        <w:rPr>
          <w:rFonts w:eastAsiaTheme="minorEastAsia"/>
          <w:lang w:val="en-US"/>
        </w:rPr>
      </w:pPr>
      <w:r w:rsidRPr="00753603">
        <w:rPr>
          <w:rFonts w:eastAsiaTheme="minorEastAsia"/>
          <w:lang w:val="en-US"/>
        </w:rPr>
        <w:t>The most straightforward way to support a high gain transmission of PDSCH using periodic TRS</w:t>
      </w:r>
      <w:r w:rsidRPr="00753603">
        <w:rPr>
          <w:lang w:val="en-US"/>
        </w:rPr>
        <w:t xml:space="preserve"> </w:t>
      </w:r>
      <w:r w:rsidRPr="00753603">
        <w:rPr>
          <w:rFonts w:eastAsiaTheme="minorEastAsia"/>
          <w:lang w:val="en-US"/>
        </w:rPr>
        <w:t xml:space="preserve">is to use individual TRSs, one for each UE, transmitted in a beam matching the UEs PDSCH beam. The number of UE’s in connected mode in a cell could, however, be many hundreds. Using equations (1) and (2) in Appendix A we find that already 100 UE’s in connected mode would result in scheduling restrictions in 8.9% of the symbols and an overhead of 2.2% while 500 UE’s in connected mode (which is not uncommon in LTE networks) would result in scheduling restrictions in 44% of the symbols and an overhead of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∙11%</m:t>
            </m:r>
          </m:den>
        </m:f>
      </m:oMath>
      <w:r w:rsidRPr="00753603">
        <w:rPr>
          <w:rFonts w:eastAsiaTheme="minorEastAsia"/>
          <w:lang w:val="en-US"/>
        </w:rPr>
        <w:t>.</w:t>
      </w:r>
    </w:p>
    <w:p w14:paraId="23ECD10B" w14:textId="77777777" w:rsidR="000B389B" w:rsidRPr="00244785" w:rsidRDefault="000B389B" w:rsidP="000B389B">
      <w:pPr>
        <w:pStyle w:val="Observation"/>
        <w:overflowPunct/>
        <w:autoSpaceDE/>
        <w:autoSpaceDN/>
        <w:adjustRightInd/>
        <w:spacing w:after="160" w:line="259" w:lineRule="auto"/>
        <w:jc w:val="left"/>
        <w:textAlignment w:val="auto"/>
        <w:rPr>
          <w:lang w:val="en-US"/>
        </w:rPr>
      </w:pPr>
      <w:bookmarkStart w:id="2" w:name="_Toc503457676"/>
      <w:bookmarkStart w:id="3" w:name="_Toc506547393"/>
      <w:r w:rsidRPr="00244785">
        <w:rPr>
          <w:lang w:val="en-US"/>
        </w:rPr>
        <w:t xml:space="preserve">For a UE specific periodic TRS already 100 UE’s in connected mode would result in analog beamforming related scheduling restrictions in 8.9% of the symbols and an </w:t>
      </w:r>
      <w:r w:rsidRPr="00244785">
        <w:rPr>
          <w:lang w:val="en-US"/>
        </w:rPr>
        <w:lastRenderedPageBreak/>
        <w:t xml:space="preserve">overhead of 2.2% while 500 UE’s in connected mode would result in scheduling restrictions in 44% of the symbols and an overhead of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r>
              <m:rPr>
                <m:sty m:val="bi"/>
              </m:rPr>
              <w:rPr>
                <w:rFonts w:ascii="Cambria Math" w:hAnsi="Cambria Math"/>
                <w:lang w:val="en-US"/>
              </w:rPr>
              <m:t>∙</m:t>
            </m:r>
            <m:r>
              <m:rPr>
                <m:sty m:val="bi"/>
              </m:rPr>
              <w:rPr>
                <w:rFonts w:ascii="Cambria Math" w:hAnsi="Cambria Math"/>
              </w:rPr>
              <m:t>11</m:t>
            </m:r>
            <m:r>
              <m:rPr>
                <m:sty m:val="bi"/>
              </m:rPr>
              <w:rPr>
                <w:rFonts w:ascii="Cambria Math" w:hAnsi="Cambria Math"/>
                <w:lang w:val="en-US"/>
              </w:rPr>
              <m:t>%</m:t>
            </m:r>
          </m:den>
        </m:f>
      </m:oMath>
      <w:bookmarkEnd w:id="2"/>
      <w:r w:rsidRPr="00244785">
        <w:rPr>
          <w:rFonts w:eastAsiaTheme="minorEastAsia"/>
          <w:lang w:val="en-US"/>
        </w:rPr>
        <w:t xml:space="preserve"> for 120kHz subcarrier spacing, 20ms TRS periodicity and one slot TRS.</w:t>
      </w:r>
      <w:bookmarkEnd w:id="3"/>
    </w:p>
    <w:p w14:paraId="4F1C6292" w14:textId="77777777" w:rsidR="000B389B" w:rsidRDefault="000B389B" w:rsidP="000B389B">
      <w:pPr>
        <w:pStyle w:val="BodyText"/>
        <w:keepNext/>
        <w:jc w:val="center"/>
      </w:pPr>
      <w:r w:rsidRPr="0063440A">
        <w:rPr>
          <w:noProof/>
        </w:rPr>
        <w:drawing>
          <wp:inline distT="0" distB="0" distL="0" distR="0" wp14:anchorId="02B11244" wp14:editId="5E166915">
            <wp:extent cx="5142547" cy="334345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6517" cy="3365536"/>
                    </a:xfrm>
                    <a:prstGeom prst="rect">
                      <a:avLst/>
                    </a:prstGeom>
                    <a:noFill/>
                    <a:ln>
                      <a:noFill/>
                    </a:ln>
                  </pic:spPr>
                </pic:pic>
              </a:graphicData>
            </a:graphic>
          </wp:inline>
        </w:drawing>
      </w:r>
    </w:p>
    <w:p w14:paraId="0EFE5123" w14:textId="77777777" w:rsidR="000B389B" w:rsidRPr="00244785" w:rsidRDefault="000B389B" w:rsidP="000B389B">
      <w:pPr>
        <w:pStyle w:val="Caption"/>
        <w:jc w:val="left"/>
        <w:rPr>
          <w:lang w:val="en-US"/>
        </w:rPr>
      </w:pPr>
      <w:r w:rsidRPr="00244785">
        <w:rPr>
          <w:lang w:val="en-US"/>
        </w:rPr>
        <w:t xml:space="preserve">Figure </w:t>
      </w:r>
      <w:r>
        <w:fldChar w:fldCharType="begin"/>
      </w:r>
      <w:r w:rsidRPr="00244785">
        <w:rPr>
          <w:lang w:val="en-US"/>
        </w:rPr>
        <w:instrText xml:space="preserve"> SEQ Figure \* ARABIC </w:instrText>
      </w:r>
      <w:r>
        <w:fldChar w:fldCharType="separate"/>
      </w:r>
      <w:r>
        <w:rPr>
          <w:noProof/>
          <w:lang w:val="en-US"/>
        </w:rPr>
        <w:t>1</w:t>
      </w:r>
      <w:r>
        <w:rPr>
          <w:noProof/>
        </w:rPr>
        <w:fldChar w:fldCharType="end"/>
      </w:r>
      <w:r w:rsidRPr="00244785">
        <w:rPr>
          <w:lang w:val="en-US"/>
        </w:rPr>
        <w:t xml:space="preserve"> Using a UE specific periodic TRS’s would result in extreme amounts of overhead and scheduling restrictions for large numbers of UE’s in connected mode. Note that 500 UEs in connected mode is not uncommon in LTE cells.</w:t>
      </w:r>
    </w:p>
    <w:p w14:paraId="4D7B53E0" w14:textId="77777777" w:rsidR="000B389B" w:rsidRPr="00402A41" w:rsidRDefault="000B389B" w:rsidP="00E679E2">
      <w:pPr>
        <w:pStyle w:val="Heading1"/>
        <w:rPr>
          <w:rFonts w:eastAsiaTheme="minorEastAsia"/>
          <w:lang w:val="en-US"/>
        </w:rPr>
      </w:pPr>
      <w:r w:rsidRPr="00402A41">
        <w:rPr>
          <w:rFonts w:eastAsiaTheme="minorEastAsia"/>
          <w:lang w:val="en-US"/>
        </w:rPr>
        <w:t>A shared set of periodic TRS’s transmitted in semi-wide beams similarly to the SS-blocks</w:t>
      </w:r>
    </w:p>
    <w:p w14:paraId="0F4DA001" w14:textId="77777777" w:rsidR="000B389B" w:rsidRPr="00753603" w:rsidRDefault="000B389B" w:rsidP="000B389B">
      <w:pPr>
        <w:rPr>
          <w:rFonts w:eastAsiaTheme="minorEastAsia"/>
          <w:lang w:val="en-US"/>
        </w:rPr>
      </w:pPr>
      <w:r w:rsidRPr="00753603">
        <w:rPr>
          <w:lang w:val="en-US"/>
        </w:rPr>
        <w:t xml:space="preserve">An alternative solution </w:t>
      </w:r>
      <w:r w:rsidRPr="00753603">
        <w:rPr>
          <w:rFonts w:eastAsiaTheme="minorEastAsia"/>
          <w:lang w:val="en-US"/>
        </w:rPr>
        <w:t>to support the high gain transmission of PDSCH using periodic TRS</w:t>
      </w:r>
      <w:r w:rsidRPr="00753603">
        <w:rPr>
          <w:lang w:val="en-US"/>
        </w:rPr>
        <w:t xml:space="preserve"> is to use a shared set of periodic TRS’s that are transmitted in fixed beams that are wider than the UE specific </w:t>
      </w:r>
      <w:r w:rsidRPr="00753603">
        <w:rPr>
          <w:rFonts w:eastAsiaTheme="minorEastAsia"/>
          <w:lang w:val="en-US"/>
        </w:rPr>
        <w:t xml:space="preserve">PDSCH beams, similarly to the </w:t>
      </w:r>
      <w:r>
        <w:rPr>
          <w:rFonts w:eastAsiaTheme="minorEastAsia"/>
          <w:lang w:val="en-US"/>
        </w:rPr>
        <w:t xml:space="preserve">typical use of </w:t>
      </w:r>
      <w:r w:rsidRPr="00753603">
        <w:rPr>
          <w:rFonts w:eastAsiaTheme="minorEastAsia"/>
          <w:lang w:val="en-US"/>
        </w:rPr>
        <w:t xml:space="preserve">SS-block beams. For coverage reasons and </w:t>
      </w:r>
      <w:r w:rsidRPr="00753603">
        <w:rPr>
          <w:lang w:val="en-US"/>
        </w:rPr>
        <w:t>in order to be QCL with PDSCH with respect to delay spread, delay, Doppler spread and Doppler shift, the PDSCH</w:t>
      </w:r>
      <w:r w:rsidRPr="00753603">
        <w:rPr>
          <w:rFonts w:eastAsiaTheme="minorEastAsia"/>
          <w:lang w:val="en-US"/>
        </w:rPr>
        <w:t xml:space="preserve"> beams the TRS beams can’t be arbitrarily wide as compared to the PDSCH beams</w:t>
      </w:r>
      <w:r>
        <w:rPr>
          <w:rFonts w:eastAsiaTheme="minorEastAsia"/>
          <w:lang w:val="en-US"/>
        </w:rPr>
        <w:t xml:space="preserve"> as it would break the QCL relation</w:t>
      </w:r>
      <w:r w:rsidRPr="00753603">
        <w:rPr>
          <w:rFonts w:eastAsiaTheme="minorEastAsia"/>
          <w:lang w:val="en-US"/>
        </w:rPr>
        <w:t>.</w:t>
      </w:r>
    </w:p>
    <w:p w14:paraId="300001DC" w14:textId="77777777" w:rsidR="000B389B" w:rsidRPr="00753603" w:rsidRDefault="000B389B" w:rsidP="000B389B">
      <w:pPr>
        <w:rPr>
          <w:rFonts w:eastAsiaTheme="minorEastAsia"/>
          <w:lang w:val="en-US"/>
        </w:rPr>
      </w:pPr>
      <w:r w:rsidRPr="00753603">
        <w:rPr>
          <w:rFonts w:eastAsiaTheme="minorEastAsia"/>
          <w:lang w:val="en-US"/>
        </w:rPr>
        <w:t>The TRS has been designed to give good performance at an SNR equal to the SNR for PDSCH. Using a wider beam for the TRS than for PDSCH we will degrade SNR for TRS. Since we use frequency density ¼ for the TRS we can power boost with 6dB but then FDM between PDSCH and TRS is not possible and it will lead to complicated configurations of reserved resources. This would however allow for a TRS beam which is 4 times wider than the PDSCH beam.</w:t>
      </w:r>
    </w:p>
    <w:p w14:paraId="0B5410F1" w14:textId="77777777" w:rsidR="000B389B" w:rsidRPr="00753603" w:rsidRDefault="000B389B" w:rsidP="000B389B">
      <w:pPr>
        <w:rPr>
          <w:rFonts w:eastAsiaTheme="minorEastAsia"/>
          <w:lang w:val="en-US"/>
        </w:rPr>
      </w:pPr>
      <w:r w:rsidRPr="00753603">
        <w:rPr>
          <w:rFonts w:eastAsiaTheme="minorEastAsia"/>
          <w:lang w:val="en-US"/>
        </w:rPr>
        <w:t xml:space="preserve">For a moderate number of 64 narrow PDSCH beams one would then expect to need 16 TRS beams. Using equation (1) in Appendix A we find that 16 TRS’s would give scheduling restrictions in 1.4% of the symbols. Using equation (2) in Appendix A we find that the overhead would formally be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∙0.35%</m:t>
            </m:r>
          </m:den>
        </m:f>
      </m:oMath>
      <w:r w:rsidRPr="00753603">
        <w:rPr>
          <w:rFonts w:eastAsiaTheme="minorEastAsia"/>
          <w:lang w:val="en-US"/>
        </w:rPr>
        <w:t xml:space="preserve"> but due to power boosting all resource elements can’t be used due to power restrictions and in practice the overhead would be four times bigger, i.e.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∙1.4%</m:t>
            </m:r>
          </m:den>
        </m:f>
      </m:oMath>
      <w:r w:rsidRPr="00753603">
        <w:rPr>
          <w:rFonts w:eastAsiaTheme="minorEastAsia"/>
          <w:lang w:val="en-US"/>
        </w:rPr>
        <w:t xml:space="preserve">. For such a moderate beamforming deployment the periodic TRS is clearly acceptable. NR is, however, designed for massive beamforming with hundreds of narrow PDSCH beams. For 256 PDSCH beams one would need 64 TRS’s which would give scheduling restrictions in 5.7% of the symbols and a practical overhead of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∙5.7%</m:t>
            </m:r>
          </m:den>
        </m:f>
      </m:oMath>
      <w:r w:rsidRPr="00753603">
        <w:rPr>
          <w:rFonts w:eastAsiaTheme="minorEastAsia"/>
          <w:lang w:val="en-US"/>
        </w:rPr>
        <w:t xml:space="preserve">. Scheduling restrictions in 5.7% of the symbols is clearly very substantial, especially considering that this is in addition to scheduling restrictions due to SS-block transmissions. If </w:t>
      </w:r>
      <w:r w:rsidRPr="00753603">
        <w:rPr>
          <w:rFonts w:eastAsiaTheme="minorEastAsia"/>
          <w:lang w:val="en-US"/>
        </w:rPr>
        <w:lastRenderedPageBreak/>
        <w:t>we use also 64 SS-block beams with subcarrier spacing 120kHz this would result in scheduling restrictions in 11.4% of the symbols.</w:t>
      </w:r>
    </w:p>
    <w:p w14:paraId="331AB3FC" w14:textId="77777777" w:rsidR="000B389B" w:rsidRPr="00753603" w:rsidRDefault="000B389B" w:rsidP="000B389B">
      <w:pPr>
        <w:rPr>
          <w:rFonts w:eastAsiaTheme="minorEastAsia"/>
          <w:lang w:val="en-US"/>
        </w:rPr>
      </w:pPr>
      <w:r w:rsidRPr="00753603">
        <w:rPr>
          <w:rFonts w:eastAsiaTheme="minorEastAsia"/>
          <w:lang w:val="en-US"/>
        </w:rPr>
        <w:t>We note that for this type of power boosted shared periodic TRS there is clearly a problem also for digital beamforming since power boosting increase the overhead as mentioned above.</w:t>
      </w:r>
    </w:p>
    <w:p w14:paraId="22779A7F" w14:textId="77777777" w:rsidR="000B389B" w:rsidRPr="00244785" w:rsidRDefault="000B389B" w:rsidP="000B389B">
      <w:pPr>
        <w:pStyle w:val="Observation"/>
        <w:overflowPunct/>
        <w:autoSpaceDE/>
        <w:autoSpaceDN/>
        <w:adjustRightInd/>
        <w:spacing w:after="160" w:line="259" w:lineRule="auto"/>
        <w:jc w:val="left"/>
        <w:textAlignment w:val="auto"/>
        <w:rPr>
          <w:lang w:val="en-US"/>
        </w:rPr>
      </w:pPr>
      <w:bookmarkStart w:id="4" w:name="_Toc503457677"/>
      <w:bookmarkStart w:id="5" w:name="_Toc506547394"/>
      <w:r w:rsidRPr="00244785">
        <w:rPr>
          <w:lang w:val="en-US"/>
        </w:rPr>
        <w:t xml:space="preserve">Configuring a set of periodic TRS’s shared by the UEs and transmitted in semi-wide beams similarly to the SS-blocks can reduce the TRS overhead compared to the use of a UE specific periodic TRS. Still, for 256 PDSCH beams one would need 64 TRS’s which would give scheduling restrictions in 5.7% of the symbols and an overhead of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r>
              <m:rPr>
                <m:sty m:val="bi"/>
              </m:rPr>
              <w:rPr>
                <w:rFonts w:ascii="Cambria Math" w:hAnsi="Cambria Math"/>
                <w:lang w:val="en-US"/>
              </w:rPr>
              <m:t>∙</m:t>
            </m:r>
            <m:r>
              <m:rPr>
                <m:sty m:val="bi"/>
              </m:rPr>
              <w:rPr>
                <w:rFonts w:ascii="Cambria Math" w:hAnsi="Cambria Math"/>
              </w:rPr>
              <m:t>5</m:t>
            </m:r>
            <m:r>
              <m:rPr>
                <m:sty m:val="bi"/>
              </m:rPr>
              <w:rPr>
                <w:rFonts w:ascii="Cambria Math" w:hAnsi="Cambria Math"/>
                <w:lang w:val="en-US"/>
              </w:rPr>
              <m:t>.</m:t>
            </m:r>
            <m:r>
              <m:rPr>
                <m:sty m:val="bi"/>
              </m:rPr>
              <w:rPr>
                <w:rFonts w:ascii="Cambria Math" w:hAnsi="Cambria Math"/>
              </w:rPr>
              <m:t>7</m:t>
            </m:r>
            <m:r>
              <m:rPr>
                <m:sty m:val="bi"/>
              </m:rPr>
              <w:rPr>
                <w:rFonts w:ascii="Cambria Math" w:hAnsi="Cambria Math"/>
                <w:lang w:val="en-US"/>
              </w:rPr>
              <m:t>%</m:t>
            </m:r>
          </m:den>
        </m:f>
      </m:oMath>
      <w:bookmarkEnd w:id="4"/>
      <w:r w:rsidRPr="00244785">
        <w:rPr>
          <w:rFonts w:eastAsiaTheme="minorEastAsia"/>
          <w:lang w:val="en-US"/>
        </w:rPr>
        <w:t xml:space="preserve"> for 120kHz subcarrier spacing, 20ms TRS periodicity and one slot TRS.</w:t>
      </w:r>
      <w:bookmarkEnd w:id="5"/>
    </w:p>
    <w:p w14:paraId="616ECCB5" w14:textId="77777777" w:rsidR="000B389B" w:rsidRDefault="000B389B" w:rsidP="000B389B">
      <w:pPr>
        <w:pStyle w:val="Observation"/>
        <w:keepNext/>
        <w:numPr>
          <w:ilvl w:val="0"/>
          <w:numId w:val="0"/>
        </w:numPr>
        <w:jc w:val="center"/>
      </w:pPr>
      <w:bookmarkStart w:id="6" w:name="_Toc506547395"/>
      <w:r w:rsidRPr="00792F39">
        <w:rPr>
          <w:noProof/>
        </w:rPr>
        <w:drawing>
          <wp:inline distT="0" distB="0" distL="0" distR="0" wp14:anchorId="1CCA352F" wp14:editId="1466FB6F">
            <wp:extent cx="5129784" cy="33467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9784" cy="3346704"/>
                    </a:xfrm>
                    <a:prstGeom prst="rect">
                      <a:avLst/>
                    </a:prstGeom>
                    <a:noFill/>
                    <a:ln>
                      <a:noFill/>
                    </a:ln>
                  </pic:spPr>
                </pic:pic>
              </a:graphicData>
            </a:graphic>
          </wp:inline>
        </w:drawing>
      </w:r>
      <w:bookmarkEnd w:id="6"/>
    </w:p>
    <w:p w14:paraId="72B01C09" w14:textId="77777777" w:rsidR="000B389B" w:rsidRPr="00244785" w:rsidRDefault="000B389B" w:rsidP="000B389B">
      <w:pPr>
        <w:pStyle w:val="Caption"/>
        <w:jc w:val="left"/>
        <w:rPr>
          <w:lang w:val="en-US"/>
        </w:rPr>
      </w:pPr>
      <w:r w:rsidRPr="00244785">
        <w:rPr>
          <w:lang w:val="en-US"/>
        </w:rPr>
        <w:t xml:space="preserve">Figure </w:t>
      </w:r>
      <w:r>
        <w:fldChar w:fldCharType="begin"/>
      </w:r>
      <w:r w:rsidRPr="00244785">
        <w:rPr>
          <w:lang w:val="en-US"/>
        </w:rPr>
        <w:instrText xml:space="preserve"> SEQ Figure \* ARABIC </w:instrText>
      </w:r>
      <w:r>
        <w:fldChar w:fldCharType="separate"/>
      </w:r>
      <w:r>
        <w:rPr>
          <w:noProof/>
          <w:lang w:val="en-US"/>
        </w:rPr>
        <w:t>2</w:t>
      </w:r>
      <w:r>
        <w:rPr>
          <w:noProof/>
        </w:rPr>
        <w:fldChar w:fldCharType="end"/>
      </w:r>
      <w:r w:rsidRPr="00244785">
        <w:rPr>
          <w:lang w:val="en-US"/>
        </w:rPr>
        <w:t xml:space="preserve"> Using a shared set of periodic TRS beams leads to large levels of overhead and scheduling restrictions at high frequencies where large numbers of antenna elements and correspondingly narrow PDSCH beams are needed for coverage. PDSCH beams based on 256 antenna elements would require 256/4=64 TRS beams that are power boosted with 6dB and thus can’t be FDM with data. We note that </w:t>
      </w:r>
      <w:r>
        <w:rPr>
          <w:lang w:val="en-US"/>
        </w:rPr>
        <w:t xml:space="preserve">a </w:t>
      </w:r>
      <w:r w:rsidRPr="00244785">
        <w:rPr>
          <w:lang w:val="en-US"/>
        </w:rPr>
        <w:t xml:space="preserve">256 antenna elements </w:t>
      </w:r>
      <w:r>
        <w:rPr>
          <w:lang w:val="en-US"/>
        </w:rPr>
        <w:t xml:space="preserve">antenna </w:t>
      </w:r>
      <w:r w:rsidRPr="00244785">
        <w:rPr>
          <w:lang w:val="en-US"/>
        </w:rPr>
        <w:t xml:space="preserve">is something </w:t>
      </w:r>
      <w:r>
        <w:rPr>
          <w:lang w:val="en-US"/>
        </w:rPr>
        <w:t xml:space="preserve">that </w:t>
      </w:r>
      <w:r w:rsidRPr="00244785">
        <w:rPr>
          <w:lang w:val="en-US"/>
        </w:rPr>
        <w:t>can easily</w:t>
      </w:r>
      <w:r>
        <w:rPr>
          <w:lang w:val="en-US"/>
        </w:rPr>
        <w:t xml:space="preserve"> be</w:t>
      </w:r>
      <w:r w:rsidRPr="00244785">
        <w:rPr>
          <w:lang w:val="en-US"/>
        </w:rPr>
        <w:t xml:space="preserve"> implement</w:t>
      </w:r>
      <w:r>
        <w:rPr>
          <w:lang w:val="en-US"/>
        </w:rPr>
        <w:t>ed</w:t>
      </w:r>
      <w:r w:rsidRPr="00244785">
        <w:rPr>
          <w:lang w:val="en-US"/>
        </w:rPr>
        <w:t xml:space="preserve"> in the near future while NR should be designed for the coming decade and even larger numbers of antenna elements.</w:t>
      </w:r>
    </w:p>
    <w:p w14:paraId="69306EC4" w14:textId="77777777" w:rsidR="000B389B" w:rsidRPr="00402A41" w:rsidRDefault="000B389B" w:rsidP="00E679E2">
      <w:pPr>
        <w:pStyle w:val="Heading1"/>
        <w:rPr>
          <w:rFonts w:eastAsiaTheme="minorEastAsia"/>
          <w:lang w:val="en-US"/>
        </w:rPr>
      </w:pPr>
      <w:r>
        <w:rPr>
          <w:rFonts w:eastAsiaTheme="minorEastAsia"/>
          <w:lang w:val="en-US"/>
        </w:rPr>
        <w:t>A</w:t>
      </w:r>
      <w:r w:rsidRPr="00402A41">
        <w:rPr>
          <w:rFonts w:eastAsiaTheme="minorEastAsia"/>
          <w:lang w:val="en-US"/>
        </w:rPr>
        <w:t>periodic TRS</w:t>
      </w:r>
      <w:r>
        <w:rPr>
          <w:rFonts w:eastAsiaTheme="minorEastAsia"/>
          <w:lang w:val="en-US"/>
        </w:rPr>
        <w:t xml:space="preserve"> triggered by DCI</w:t>
      </w:r>
    </w:p>
    <w:p w14:paraId="02164BD2" w14:textId="77777777" w:rsidR="000B389B" w:rsidRPr="00753603" w:rsidRDefault="000B389B" w:rsidP="000B389B">
      <w:pPr>
        <w:rPr>
          <w:lang w:val="en-US"/>
        </w:rPr>
      </w:pPr>
      <w:r w:rsidRPr="00753603">
        <w:rPr>
          <w:lang w:val="en-US"/>
        </w:rPr>
        <w:t>The aperiodic TRS doesn’t result in any analog beamforming related scheduling restrictions since the TRS is</w:t>
      </w:r>
      <w:r>
        <w:rPr>
          <w:lang w:val="en-US"/>
        </w:rPr>
        <w:t xml:space="preserve"> self-contained and thus</w:t>
      </w:r>
      <w:r w:rsidRPr="00753603">
        <w:rPr>
          <w:lang w:val="en-US"/>
        </w:rPr>
        <w:t xml:space="preserve"> always transmitted in the same slot together with downlink data to the same UE (except for the case of very uplink heavy traffic where a TRS may have to be scheduled even if there is no downlink data to transmit in order to establish synchronization for UL). The aperiodic TRS does, however, give an overhead in terms of resource element utilization which we will evaluate here.</w:t>
      </w:r>
    </w:p>
    <w:p w14:paraId="2C675902" w14:textId="77777777" w:rsidR="000B389B" w:rsidRPr="00244785" w:rsidRDefault="000B389B" w:rsidP="000B389B">
      <w:pPr>
        <w:rPr>
          <w:rFonts w:eastAsiaTheme="minorEastAsia"/>
          <w:lang w:val="en-US"/>
        </w:rPr>
      </w:pPr>
      <w:r w:rsidRPr="00753603">
        <w:rPr>
          <w:lang w:val="en-US"/>
        </w:rPr>
        <w:t xml:space="preserve">We assume that for UE that is scheduled for a downlink data transmission the aperiodic TRS is scheduled if the time since the last TRS transmission to the UE is equal to or larger than 20ms, so that measurements are never older than for the periodic TRS. </w:t>
      </w:r>
      <w:r w:rsidRPr="00753603">
        <w:rPr>
          <w:rFonts w:eastAsiaTheme="minorEastAsia"/>
          <w:lang w:val="en-US"/>
        </w:rPr>
        <w:t>Using equation (3) in Appendix A</w:t>
      </w:r>
      <w:r w:rsidRPr="00753603">
        <w:rPr>
          <w:lang w:val="en-US"/>
        </w:rPr>
        <w:t xml:space="preserve"> and</w:t>
      </w:r>
      <w:r w:rsidRPr="00753603">
        <w:rPr>
          <w:rFonts w:eastAsiaTheme="minorEastAsia"/>
          <w:lang w:val="en-US"/>
        </w:rPr>
        <w:t xml:space="preserve"> assuming that 30 different UE’s are scheduled within the time period of 20ms we get an overhead of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∙0.66%</m:t>
        </m:r>
      </m:oMath>
      <w:r w:rsidRPr="00753603">
        <w:rPr>
          <w:rFonts w:eastAsiaTheme="minorEastAsia"/>
          <w:lang w:val="en-US"/>
        </w:rPr>
        <w:t>. This is clearly by far superior to any type of periodic TRS</w:t>
      </w:r>
      <w:r w:rsidRPr="00244785">
        <w:rPr>
          <w:rFonts w:eastAsiaTheme="minorEastAsia"/>
          <w:lang w:val="en-US"/>
        </w:rPr>
        <w:t>.</w:t>
      </w:r>
    </w:p>
    <w:p w14:paraId="13CE7188" w14:textId="77777777" w:rsidR="000B389B" w:rsidRPr="00244785" w:rsidRDefault="000B389B" w:rsidP="000B389B">
      <w:pPr>
        <w:pStyle w:val="Observation"/>
        <w:overflowPunct/>
        <w:autoSpaceDE/>
        <w:autoSpaceDN/>
        <w:adjustRightInd/>
        <w:spacing w:after="160" w:line="259" w:lineRule="auto"/>
        <w:jc w:val="left"/>
        <w:textAlignment w:val="auto"/>
        <w:rPr>
          <w:rFonts w:eastAsiaTheme="minorEastAsia"/>
          <w:lang w:val="en-US"/>
        </w:rPr>
      </w:pPr>
      <w:bookmarkStart w:id="7" w:name="_Toc503457678"/>
      <w:bookmarkStart w:id="8" w:name="_Toc506547396"/>
      <w:r w:rsidRPr="00244785">
        <w:rPr>
          <w:lang w:val="en-US"/>
        </w:rPr>
        <w:lastRenderedPageBreak/>
        <w:t xml:space="preserve">Utilizing a DCI triggered aperiodic TRS doesn’t result in any analog beamforming related scheduling restrictions and assuming that an average of 30 different UEs are scheduled within a time period of 20ms the TRS overhead would be limited to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den>
        </m:f>
        <m:r>
          <m:rPr>
            <m:sty m:val="bi"/>
          </m:rPr>
          <w:rPr>
            <w:rFonts w:ascii="Cambria Math" w:hAnsi="Cambria Math"/>
            <w:lang w:val="en-US"/>
          </w:rPr>
          <m:t>∙</m:t>
        </m:r>
        <m:r>
          <m:rPr>
            <m:sty m:val="bi"/>
          </m:rPr>
          <w:rPr>
            <w:rFonts w:ascii="Cambria Math" w:hAnsi="Cambria Math"/>
          </w:rPr>
          <m:t>0</m:t>
        </m:r>
        <m:r>
          <m:rPr>
            <m:sty m:val="bi"/>
          </m:rPr>
          <w:rPr>
            <w:rFonts w:ascii="Cambria Math" w:hAnsi="Cambria Math"/>
            <w:lang w:val="en-US"/>
          </w:rPr>
          <m:t>.</m:t>
        </m:r>
        <m:r>
          <m:rPr>
            <m:sty m:val="bi"/>
          </m:rPr>
          <w:rPr>
            <w:rFonts w:ascii="Cambria Math" w:hAnsi="Cambria Math"/>
          </w:rPr>
          <m:t>66</m:t>
        </m:r>
        <m:r>
          <m:rPr>
            <m:sty m:val="bi"/>
          </m:rPr>
          <w:rPr>
            <w:rFonts w:ascii="Cambria Math" w:hAnsi="Cambria Math"/>
            <w:lang w:val="en-US"/>
          </w:rPr>
          <m:t>%</m:t>
        </m:r>
      </m:oMath>
      <w:bookmarkEnd w:id="7"/>
      <w:r w:rsidRPr="00244785">
        <w:rPr>
          <w:rFonts w:eastAsiaTheme="minorEastAsia"/>
          <w:lang w:val="en-US"/>
        </w:rPr>
        <w:t xml:space="preserve"> for 120kHz subcarrier spacing and one slot TRS.</w:t>
      </w:r>
      <w:bookmarkEnd w:id="8"/>
    </w:p>
    <w:p w14:paraId="71E623AD" w14:textId="77777777" w:rsidR="000B389B" w:rsidRDefault="000B389B" w:rsidP="000B389B">
      <w:pPr>
        <w:pStyle w:val="BodyText"/>
        <w:keepNext/>
      </w:pPr>
      <w:r w:rsidRPr="00D604CB">
        <w:rPr>
          <w:noProof/>
        </w:rPr>
        <w:drawing>
          <wp:inline distT="0" distB="0" distL="0" distR="0" wp14:anchorId="4DC87D02" wp14:editId="1F708B99">
            <wp:extent cx="5120640" cy="3346704"/>
            <wp:effectExtent l="0" t="0" r="381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346704"/>
                    </a:xfrm>
                    <a:prstGeom prst="rect">
                      <a:avLst/>
                    </a:prstGeom>
                    <a:noFill/>
                    <a:ln>
                      <a:noFill/>
                    </a:ln>
                  </pic:spPr>
                </pic:pic>
              </a:graphicData>
            </a:graphic>
          </wp:inline>
        </w:drawing>
      </w:r>
    </w:p>
    <w:p w14:paraId="24F3A9AC" w14:textId="77777777" w:rsidR="000B389B" w:rsidRPr="00244785" w:rsidRDefault="000B389B" w:rsidP="000B389B">
      <w:pPr>
        <w:pStyle w:val="Caption"/>
        <w:jc w:val="left"/>
        <w:rPr>
          <w:lang w:val="en-US"/>
        </w:rPr>
      </w:pPr>
      <w:r w:rsidRPr="00244785">
        <w:rPr>
          <w:lang w:val="en-US"/>
        </w:rPr>
        <w:t xml:space="preserve">Figure </w:t>
      </w:r>
      <w:r>
        <w:fldChar w:fldCharType="begin"/>
      </w:r>
      <w:r w:rsidRPr="00244785">
        <w:rPr>
          <w:lang w:val="en-US"/>
        </w:rPr>
        <w:instrText xml:space="preserve"> SEQ Figure \* ARABIC </w:instrText>
      </w:r>
      <w:r>
        <w:fldChar w:fldCharType="separate"/>
      </w:r>
      <w:r>
        <w:rPr>
          <w:noProof/>
          <w:lang w:val="en-US"/>
        </w:rPr>
        <w:t>3</w:t>
      </w:r>
      <w:r>
        <w:rPr>
          <w:noProof/>
        </w:rPr>
        <w:fldChar w:fldCharType="end"/>
      </w:r>
      <w:r w:rsidRPr="00244785">
        <w:rPr>
          <w:lang w:val="en-US"/>
        </w:rPr>
        <w:t xml:space="preserve"> Using DCI scheduled aperiodic TRS result in a very small overhead independent of the number of antenna elements or narrowness of PDSCH beams. There are no analog beamforming related scheduling restrictions since TRS transmitted together with downlink data. The overhead is proportional to number of UE’s scheduled within 20ms. In LTE the number of UEs in a cell simultaneously with data in the buffer can be as high as 20 to 30 at high loads.</w:t>
      </w:r>
    </w:p>
    <w:p w14:paraId="32C0EED9" w14:textId="77777777" w:rsidR="000B389B" w:rsidRDefault="000B389B" w:rsidP="00E679E2">
      <w:pPr>
        <w:pStyle w:val="Heading1"/>
      </w:pPr>
      <w:r>
        <w:t>Scaling of TRS overheads with subcarrier spacing, TRS periodicity, TRS slot length and TDD UL/DL ratio</w:t>
      </w:r>
    </w:p>
    <w:p w14:paraId="2E97B9A0" w14:textId="6019CDB7" w:rsidR="000B389B" w:rsidRPr="00753603" w:rsidRDefault="000B389B" w:rsidP="000B389B">
      <w:pPr>
        <w:rPr>
          <w:rFonts w:eastAsiaTheme="minorEastAsia"/>
          <w:lang w:val="en-US"/>
        </w:rPr>
      </w:pPr>
      <w:r w:rsidRPr="00753603">
        <w:rPr>
          <w:rFonts w:eastAsiaTheme="minorEastAsia"/>
          <w:lang w:val="en-US"/>
        </w:rPr>
        <w:t xml:space="preserve">For simplicity the overhead and scheduling restriction numbers in sections </w:t>
      </w:r>
      <w:r w:rsidR="00147EF5">
        <w:rPr>
          <w:rFonts w:eastAsiaTheme="minorEastAsia"/>
          <w:lang w:val="en-US"/>
        </w:rPr>
        <w:t>2</w:t>
      </w:r>
      <w:r w:rsidRPr="00753603">
        <w:rPr>
          <w:rFonts w:eastAsiaTheme="minorEastAsia"/>
          <w:lang w:val="en-US"/>
        </w:rPr>
        <w:t xml:space="preserve">, </w:t>
      </w:r>
      <w:r w:rsidR="00147EF5">
        <w:rPr>
          <w:rFonts w:eastAsiaTheme="minorEastAsia"/>
          <w:lang w:val="en-US"/>
        </w:rPr>
        <w:t>3</w:t>
      </w:r>
      <w:r w:rsidRPr="00753603">
        <w:rPr>
          <w:rFonts w:eastAsiaTheme="minorEastAsia"/>
          <w:lang w:val="en-US"/>
        </w:rPr>
        <w:t xml:space="preserve"> and </w:t>
      </w:r>
      <w:r w:rsidR="00147EF5">
        <w:rPr>
          <w:rFonts w:eastAsiaTheme="minorEastAsia"/>
          <w:lang w:val="en-US"/>
        </w:rPr>
        <w:t>4</w:t>
      </w:r>
      <w:r w:rsidRPr="00753603">
        <w:rPr>
          <w:rFonts w:eastAsiaTheme="minorEastAsia"/>
          <w:lang w:val="en-US"/>
        </w:rPr>
        <w:t xml:space="preserve"> above are given for the case of 120kHz subcarrier spacing, 20ms TRS periodicity and one slot TRS-burst. From equations (1), (2) and (3) in Appendix A it is, however, easily seen that overhead and scheduling restriction numbers are inversely proportional to the subcarrier spacing, inversely proportional to the TRS periodicity and proportional to the TRS-burst length. Thus, for a two slot TRS the overhead and scheduling restriction numbers should be doubled while for a 40ms TRS periodicity or a 240kHz subcarrier spacing the numbers should be divided by two.</w:t>
      </w:r>
    </w:p>
    <w:p w14:paraId="0DB8EAD9" w14:textId="77777777" w:rsidR="000B389B" w:rsidRPr="00244785" w:rsidRDefault="000B389B" w:rsidP="000B389B">
      <w:pPr>
        <w:pStyle w:val="Observation"/>
        <w:overflowPunct/>
        <w:autoSpaceDE/>
        <w:autoSpaceDN/>
        <w:adjustRightInd/>
        <w:spacing w:after="160" w:line="259" w:lineRule="auto"/>
        <w:jc w:val="left"/>
        <w:textAlignment w:val="auto"/>
        <w:rPr>
          <w:lang w:val="en-US"/>
        </w:rPr>
      </w:pPr>
      <w:bookmarkStart w:id="9" w:name="_Toc506547397"/>
      <w:r w:rsidRPr="00244785">
        <w:rPr>
          <w:lang w:val="en-US"/>
        </w:rPr>
        <w:t>TRS overhead and scheduling restriction numbers are inversely proportional to the subcarrier spacing, inversely proportional to the TRS periodicity and proportional to the TRS-burst length.</w:t>
      </w:r>
      <w:bookmarkEnd w:id="9"/>
    </w:p>
    <w:p w14:paraId="0A163165" w14:textId="64787FFF" w:rsidR="000B389B" w:rsidRPr="00753603" w:rsidRDefault="000B389B" w:rsidP="000B389B">
      <w:pPr>
        <w:rPr>
          <w:rFonts w:eastAsiaTheme="minorEastAsia"/>
          <w:lang w:val="en-US"/>
        </w:rPr>
      </w:pPr>
      <w:r w:rsidRPr="00753603">
        <w:rPr>
          <w:rFonts w:eastAsiaTheme="minorEastAsia"/>
          <w:lang w:val="en-US"/>
        </w:rPr>
        <w:t xml:space="preserve">Note also that for TDD you need to take the UL/DL ratio into account. To get the overhead and scheduling restrictions in relation to the total downlink resources one should divide the numbers given in sections </w:t>
      </w:r>
      <w:r w:rsidR="00147EF5">
        <w:rPr>
          <w:rFonts w:eastAsiaTheme="minorEastAsia"/>
          <w:lang w:val="en-US"/>
        </w:rPr>
        <w:t>2,3</w:t>
      </w:r>
      <w:r w:rsidRPr="00753603">
        <w:rPr>
          <w:rFonts w:eastAsiaTheme="minorEastAsia"/>
          <w:lang w:val="en-US"/>
        </w:rPr>
        <w:t xml:space="preserve"> and </w:t>
      </w:r>
      <w:r w:rsidR="00147EF5">
        <w:rPr>
          <w:rFonts w:eastAsiaTheme="minorEastAsia"/>
          <w:lang w:val="en-US"/>
        </w:rPr>
        <w:t>4</w:t>
      </w:r>
      <w:r w:rsidRPr="00753603">
        <w:rPr>
          <w:rFonts w:eastAsiaTheme="minorEastAsia"/>
          <w:lang w:val="en-US"/>
        </w:rPr>
        <w:t xml:space="preserve"> above, with the proportion of time utilized for downlink. Thus, if e.g. half of the time is utilized for downlink, the overhead and scheduling restriction numbers should be multiplied with two.</w:t>
      </w:r>
    </w:p>
    <w:p w14:paraId="1071A9C4" w14:textId="77777777" w:rsidR="000B389B" w:rsidRDefault="000B389B" w:rsidP="00E679E2">
      <w:pPr>
        <w:pStyle w:val="Heading1"/>
      </w:pPr>
      <w:r>
        <w:lastRenderedPageBreak/>
        <w:t>Aperiodic TRS for reduced SCell activation delay</w:t>
      </w:r>
    </w:p>
    <w:p w14:paraId="738A6EE9" w14:textId="77777777" w:rsidR="000B389B" w:rsidRPr="00753603" w:rsidRDefault="000B389B" w:rsidP="000B389B">
      <w:pPr>
        <w:rPr>
          <w:rFonts w:eastAsiaTheme="minorEastAsia"/>
          <w:lang w:val="en-US"/>
        </w:rPr>
      </w:pPr>
      <w:r w:rsidRPr="00753603">
        <w:rPr>
          <w:rFonts w:eastAsiaTheme="minorEastAsia"/>
          <w:lang w:val="en-US"/>
        </w:rPr>
        <w:t>RAN4 is currently discussing the requirements for SCell activation delay. At SCell activation the UE performs two steps:</w:t>
      </w:r>
    </w:p>
    <w:p w14:paraId="20CDCF04" w14:textId="77777777" w:rsidR="000B389B" w:rsidRPr="004B42F1" w:rsidRDefault="000B389B" w:rsidP="000B389B">
      <w:pPr>
        <w:pStyle w:val="ListParagraph"/>
        <w:numPr>
          <w:ilvl w:val="0"/>
          <w:numId w:val="46"/>
        </w:numPr>
        <w:spacing w:line="259" w:lineRule="auto"/>
        <w:rPr>
          <w:lang w:eastAsia="zh-CN"/>
        </w:rPr>
      </w:pPr>
      <w:r w:rsidRPr="004B42F1">
        <w:rPr>
          <w:lang w:eastAsia="zh-CN"/>
        </w:rPr>
        <w:t xml:space="preserve">Adjustment of amplifier gain settings (LNA and VGA) which requires three RSSI measurements on </w:t>
      </w:r>
      <w:r>
        <w:rPr>
          <w:lang w:eastAsia="zh-CN"/>
        </w:rPr>
        <w:t xml:space="preserve">the </w:t>
      </w:r>
      <w:r w:rsidRPr="004B42F1">
        <w:rPr>
          <w:lang w:eastAsia="zh-CN"/>
        </w:rPr>
        <w:t>SCell</w:t>
      </w:r>
      <w:r>
        <w:rPr>
          <w:lang w:eastAsia="zh-CN"/>
        </w:rPr>
        <w:t>.</w:t>
      </w:r>
    </w:p>
    <w:p w14:paraId="128B955D" w14:textId="77777777" w:rsidR="000B389B" w:rsidRPr="004B42F1" w:rsidRDefault="000B389B" w:rsidP="000B389B">
      <w:pPr>
        <w:pStyle w:val="ListParagraph"/>
        <w:numPr>
          <w:ilvl w:val="0"/>
          <w:numId w:val="46"/>
        </w:numPr>
        <w:spacing w:line="259" w:lineRule="auto"/>
        <w:rPr>
          <w:lang w:eastAsia="zh-CN"/>
        </w:rPr>
      </w:pPr>
      <w:r>
        <w:rPr>
          <w:lang w:eastAsia="zh-CN"/>
        </w:rPr>
        <w:t>Confirmation of the presence of the SCell and achieving time synch</w:t>
      </w:r>
    </w:p>
    <w:p w14:paraId="0FEDBA26" w14:textId="77777777" w:rsidR="000B389B" w:rsidRPr="00753603" w:rsidRDefault="000B389B" w:rsidP="000B389B">
      <w:pPr>
        <w:rPr>
          <w:rFonts w:eastAsiaTheme="minorEastAsia"/>
          <w:lang w:val="en-US"/>
        </w:rPr>
      </w:pPr>
      <w:r w:rsidRPr="00753603">
        <w:rPr>
          <w:rFonts w:eastAsiaTheme="minorEastAsia"/>
          <w:lang w:val="en-US"/>
        </w:rPr>
        <w:t>Here step one is only needed for blind SCell activation. If the UE has recently performed measurements on the SCell, step one can be omitted.</w:t>
      </w:r>
    </w:p>
    <w:p w14:paraId="2E0B0179" w14:textId="77777777" w:rsidR="000B389B" w:rsidRPr="00753603" w:rsidRDefault="000B389B" w:rsidP="000B389B">
      <w:pPr>
        <w:rPr>
          <w:rFonts w:eastAsiaTheme="minorEastAsia"/>
          <w:lang w:val="en-US"/>
        </w:rPr>
      </w:pPr>
      <w:r w:rsidRPr="00753603">
        <w:rPr>
          <w:rFonts w:eastAsiaTheme="minorEastAsia"/>
          <w:lang w:val="en-US"/>
        </w:rPr>
        <w:t>RAN4 is currently considering SCell delay requirements based on the assumption that step one takes three times the SMTC_period (SMTC is the “SS/PBCH block measurement timing configuration”) and that step two takes one to two times the SMTC period. This is based on the assumption that the SS-block is used for the UE measurements.</w:t>
      </w:r>
    </w:p>
    <w:p w14:paraId="7744453D" w14:textId="77777777" w:rsidR="000B389B" w:rsidRPr="00753603" w:rsidRDefault="000B389B" w:rsidP="000B389B">
      <w:pPr>
        <w:rPr>
          <w:rFonts w:eastAsiaTheme="minorEastAsia"/>
          <w:lang w:val="en-US"/>
        </w:rPr>
      </w:pPr>
      <w:r w:rsidRPr="00753603">
        <w:rPr>
          <w:rFonts w:eastAsiaTheme="minorEastAsia"/>
          <w:lang w:val="en-US"/>
        </w:rPr>
        <w:t>If the UE utilizes both the SS-block and a periodic TRS on SCell the delays could be reduced somewhat but would still be counted in SMTC_periods and TRS periods.</w:t>
      </w:r>
    </w:p>
    <w:p w14:paraId="11211D8A" w14:textId="77777777" w:rsidR="000B389B" w:rsidRPr="00753603" w:rsidRDefault="000B389B" w:rsidP="000B389B">
      <w:pPr>
        <w:rPr>
          <w:rFonts w:eastAsiaTheme="minorEastAsia"/>
          <w:lang w:val="en-US"/>
        </w:rPr>
      </w:pPr>
      <w:r w:rsidRPr="00753603">
        <w:rPr>
          <w:rFonts w:eastAsiaTheme="minorEastAsia"/>
          <w:lang w:val="en-US"/>
        </w:rPr>
        <w:t>In LTE the CRS is used and thus there is no need for the UE to wait for the appearance of periodic signals. Consequently, the SCell activation delay is significantly shorter than what is currently discussed for NR in RAN4.</w:t>
      </w:r>
    </w:p>
    <w:p w14:paraId="3E76EBA8" w14:textId="77777777" w:rsidR="000B389B" w:rsidRPr="00753603" w:rsidRDefault="000B389B" w:rsidP="000B389B">
      <w:pPr>
        <w:rPr>
          <w:rFonts w:eastAsiaTheme="minorEastAsia"/>
          <w:lang w:val="en-US"/>
        </w:rPr>
      </w:pPr>
      <w:r w:rsidRPr="00753603">
        <w:rPr>
          <w:rFonts w:eastAsiaTheme="minorEastAsia"/>
          <w:lang w:val="en-US"/>
        </w:rPr>
        <w:t>With an aperiodic TRS on SCell triggered by DCI on PCell the UE would not need to wait for periodic signals and the SCell activation delay would be on par with LTE.</w:t>
      </w:r>
      <w:r w:rsidRPr="00753603" w:rsidDel="00CE5420">
        <w:rPr>
          <w:rFonts w:eastAsiaTheme="minorEastAsia"/>
          <w:lang w:val="en-US"/>
        </w:rPr>
        <w:t xml:space="preserve"> </w:t>
      </w:r>
    </w:p>
    <w:p w14:paraId="733B7288" w14:textId="77777777" w:rsidR="000B389B" w:rsidRPr="00244785" w:rsidRDefault="000B389B" w:rsidP="000B389B">
      <w:pPr>
        <w:pStyle w:val="Observation"/>
        <w:overflowPunct/>
        <w:autoSpaceDE/>
        <w:autoSpaceDN/>
        <w:adjustRightInd/>
        <w:spacing w:after="160" w:line="259" w:lineRule="auto"/>
        <w:jc w:val="left"/>
        <w:textAlignment w:val="auto"/>
        <w:rPr>
          <w:lang w:val="en-US"/>
        </w:rPr>
      </w:pPr>
      <w:bookmarkStart w:id="10" w:name="_Toc506547398"/>
      <w:r>
        <w:t xml:space="preserve">Without aperiodic TRS the SCell activation delay will be </w:t>
      </w:r>
      <w:r w:rsidRPr="00753603">
        <w:rPr>
          <w:u w:val="single"/>
        </w:rPr>
        <w:t>significantly longer for NR than for LTE</w:t>
      </w:r>
      <w:r>
        <w:t xml:space="preserve"> where the CRS is used. RAN4 is currently considering four to five SS-block periods for blind SCell activation and one to two SS-block periods for SCell activation when the UE has recent measurements on SCell</w:t>
      </w:r>
      <w:bookmarkEnd w:id="10"/>
      <w:r>
        <w:t xml:space="preserve"> </w:t>
      </w:r>
    </w:p>
    <w:p w14:paraId="4AA5B7D4" w14:textId="77777777" w:rsidR="000B389B" w:rsidRDefault="000B389B" w:rsidP="000B389B">
      <w:pPr>
        <w:pStyle w:val="Observation"/>
        <w:overflowPunct/>
        <w:autoSpaceDE/>
        <w:autoSpaceDN/>
        <w:adjustRightInd/>
        <w:spacing w:after="160" w:line="259" w:lineRule="auto"/>
        <w:jc w:val="left"/>
        <w:textAlignment w:val="auto"/>
      </w:pPr>
      <w:bookmarkStart w:id="11" w:name="_Toc506547399"/>
      <w:r>
        <w:t>With an aperiodic TRS on SCell triggered by DCI on PCell the NR SCell activation delay would be on par with LTE.</w:t>
      </w:r>
      <w:bookmarkEnd w:id="11"/>
      <w:r w:rsidDel="00CE5420">
        <w:t xml:space="preserve"> </w:t>
      </w:r>
    </w:p>
    <w:p w14:paraId="2500F63A" w14:textId="77777777" w:rsidR="000B389B" w:rsidRPr="00CE0424" w:rsidRDefault="000B389B" w:rsidP="000B389B">
      <w:pPr>
        <w:pStyle w:val="Heading1"/>
      </w:pPr>
      <w:bookmarkStart w:id="12" w:name="_In-sequence_SDU_delivery"/>
      <w:bookmarkEnd w:id="1"/>
      <w:bookmarkEnd w:id="12"/>
      <w:r w:rsidRPr="00CE0424">
        <w:t>References</w:t>
      </w:r>
    </w:p>
    <w:bookmarkStart w:id="13" w:name="_Ref449678105"/>
    <w:bookmarkStart w:id="14" w:name="_Ref453835673"/>
    <w:bookmarkStart w:id="15" w:name="_Ref174151459"/>
    <w:bookmarkStart w:id="16" w:name="_Ref189809556"/>
    <w:p w14:paraId="30F2C58B" w14:textId="77777777" w:rsidR="000B389B" w:rsidRPr="00244785" w:rsidRDefault="000B389B" w:rsidP="000B389B">
      <w:pPr>
        <w:pStyle w:val="Reference"/>
        <w:numPr>
          <w:ilvl w:val="0"/>
          <w:numId w:val="40"/>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"http://www.3gpp.org/ftp/tsg_ran/WG1_RL1/TSGR1_91/Docs/R1-1720898.zip"</w:instrText>
      </w:r>
      <w:r>
        <w:fldChar w:fldCharType="separate"/>
      </w:r>
      <w:r>
        <w:rPr>
          <w:rStyle w:val="Hyperlink"/>
        </w:rPr>
        <w:t>R1-1720898</w:t>
      </w:r>
      <w:r>
        <w:fldChar w:fldCharType="end"/>
      </w:r>
      <w:r w:rsidRPr="00244785">
        <w:rPr>
          <w:lang w:val="en-US"/>
        </w:rPr>
        <w:t>, Remaining Details of TRS Design, Nokia, Nokia Shanghai Bell, RAN1#91, Dec 2017.</w:t>
      </w:r>
      <w:bookmarkEnd w:id="13"/>
      <w:bookmarkEnd w:id="14"/>
    </w:p>
    <w:bookmarkStart w:id="17" w:name="_Ref501635082"/>
    <w:p w14:paraId="6C91415B" w14:textId="77777777" w:rsidR="000B389B" w:rsidRPr="00244785" w:rsidRDefault="000B389B" w:rsidP="000B389B">
      <w:pPr>
        <w:pStyle w:val="Reference"/>
        <w:numPr>
          <w:ilvl w:val="0"/>
          <w:numId w:val="40"/>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"http://www.3gpp.org/ftp/tsg_ran/WG1_RL1/TSGR1_91/Docs/R1-1719545.zip"</w:instrText>
      </w:r>
      <w:r>
        <w:fldChar w:fldCharType="separate"/>
      </w:r>
      <w:r>
        <w:rPr>
          <w:rStyle w:val="Hyperlink"/>
        </w:rPr>
        <w:t>R1-1719545</w:t>
      </w:r>
      <w:r>
        <w:fldChar w:fldCharType="end"/>
      </w:r>
      <w:r w:rsidRPr="00244785">
        <w:rPr>
          <w:lang w:val="en-US"/>
        </w:rPr>
        <w:t xml:space="preserve">, Remaining Details of TRS, </w:t>
      </w:r>
      <w:r w:rsidRPr="00244785">
        <w:rPr>
          <w:rFonts w:eastAsia="SimSun"/>
          <w:lang w:val="en-US"/>
        </w:rPr>
        <w:t>ZTE</w:t>
      </w:r>
      <w:r w:rsidRPr="00244785">
        <w:rPr>
          <w:rFonts w:eastAsia="SimSun" w:hint="eastAsia"/>
          <w:lang w:val="en-US"/>
        </w:rPr>
        <w:t>, Sanechips</w:t>
      </w:r>
      <w:r w:rsidRPr="00244785">
        <w:rPr>
          <w:lang w:val="en-US"/>
        </w:rPr>
        <w:t>, RAN1#91, Dec 2017.</w:t>
      </w:r>
      <w:bookmarkEnd w:id="17"/>
    </w:p>
    <w:bookmarkStart w:id="18" w:name="_Ref503365459"/>
    <w:p w14:paraId="1B85346D" w14:textId="77777777" w:rsidR="000B389B" w:rsidRPr="00244785" w:rsidRDefault="000B389B" w:rsidP="000B389B">
      <w:pPr>
        <w:pStyle w:val="Reference"/>
        <w:numPr>
          <w:ilvl w:val="0"/>
          <w:numId w:val="40"/>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"http://www.3gpp.org/ftp/tsg_ran/WG1_RL1/TSGR1_91/Docs/R1-1720745.zip"</w:instrText>
      </w:r>
      <w:r>
        <w:fldChar w:fldCharType="separate"/>
      </w:r>
      <w:r>
        <w:rPr>
          <w:rStyle w:val="Hyperlink"/>
        </w:rPr>
        <w:t>R1-1720745</w:t>
      </w:r>
      <w:r>
        <w:fldChar w:fldCharType="end"/>
      </w:r>
      <w:r w:rsidRPr="00244785">
        <w:rPr>
          <w:lang w:val="en-US"/>
        </w:rPr>
        <w:t>, Remaining Details on TRS, Ericsson, RAN1#91, Dec 2017.</w:t>
      </w:r>
      <w:bookmarkEnd w:id="18"/>
    </w:p>
    <w:bookmarkStart w:id="19" w:name="_Ref503365903"/>
    <w:p w14:paraId="6038F085" w14:textId="77777777" w:rsidR="000B389B" w:rsidRPr="00244785" w:rsidRDefault="000B389B" w:rsidP="000B389B">
      <w:pPr>
        <w:pStyle w:val="Reference"/>
        <w:numPr>
          <w:ilvl w:val="0"/>
          <w:numId w:val="40"/>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"http://www.3gpp.org/ftp/tsg_ran/WG1_RL1/TSGR1_91/Docs/R1-1720671.zip"</w:instrText>
      </w:r>
      <w:r>
        <w:fldChar w:fldCharType="separate"/>
      </w:r>
      <w:r>
        <w:rPr>
          <w:rStyle w:val="Hyperlink"/>
        </w:rPr>
        <w:t>R1-1720671</w:t>
      </w:r>
      <w:r>
        <w:fldChar w:fldCharType="end"/>
      </w:r>
      <w:r w:rsidRPr="00244785">
        <w:rPr>
          <w:lang w:val="en-US"/>
        </w:rPr>
        <w:t>, Remaining Issues on TRS, Qualcomm, RAN1#91, Dec 2017.</w:t>
      </w:r>
      <w:bookmarkEnd w:id="19"/>
    </w:p>
    <w:bookmarkEnd w:id="15"/>
    <w:bookmarkEnd w:id="16"/>
    <w:p w14:paraId="12E01E4D" w14:textId="77777777" w:rsidR="000B389B" w:rsidRDefault="000B389B" w:rsidP="000B389B">
      <w:pPr>
        <w:pStyle w:val="Heading1"/>
        <w:rPr>
          <w:lang w:val="en-US"/>
        </w:rPr>
      </w:pPr>
      <w:r>
        <w:rPr>
          <w:lang w:val="en-US"/>
        </w:rPr>
        <w:t>Appendix A</w:t>
      </w:r>
    </w:p>
    <w:p w14:paraId="3AF73355" w14:textId="77777777" w:rsidR="000B389B" w:rsidRPr="00244785" w:rsidRDefault="000B389B" w:rsidP="000B389B">
      <w:pPr>
        <w:rPr>
          <w:b/>
          <w:i/>
          <w:lang w:val="en-US"/>
        </w:rPr>
      </w:pPr>
      <w:r w:rsidRPr="00244785">
        <w:rPr>
          <w:b/>
          <w:i/>
          <w:lang w:val="en-US"/>
        </w:rPr>
        <w:t>Overhead and proportion of OFDM symbols used for one periodic TRS</w:t>
      </w:r>
    </w:p>
    <w:p w14:paraId="38792908" w14:textId="77777777" w:rsidR="000B389B" w:rsidRPr="00244785" w:rsidRDefault="000B389B" w:rsidP="000B389B">
      <w:pPr>
        <w:rPr>
          <w:lang w:val="en-US"/>
        </w:rPr>
      </w:pPr>
      <w:r w:rsidRPr="00244785">
        <w:rPr>
          <w:lang w:val="en-US"/>
        </w:rPr>
        <w:t>For a</w:t>
      </w:r>
      <w:r w:rsidRPr="00244785">
        <w:rPr>
          <w:i/>
          <w:lang w:val="en-US"/>
        </w:rPr>
        <w:t xml:space="preserve"> </w:t>
      </w:r>
      <w:r w:rsidRPr="00244785">
        <w:rPr>
          <w:lang w:val="en-US"/>
        </w:rPr>
        <w:t xml:space="preserve">TRS burst consisting of </w:t>
      </w:r>
      <w:r w:rsidRPr="00244785">
        <w:rPr>
          <w:i/>
          <w:lang w:val="en-US"/>
        </w:rPr>
        <w:t>X</w:t>
      </w:r>
      <w:r w:rsidRPr="00244785">
        <w:rPr>
          <w:lang w:val="en-US"/>
        </w:rPr>
        <w:t xml:space="preserve"> slots with two symbols in each slot, </w:t>
      </w:r>
      <m:oMath>
        <m:r>
          <w:rPr>
            <w:rFonts w:ascii="Cambria Math" w:hAnsi="Cambria Math"/>
            <w:lang w:val="en-US"/>
          </w:rPr>
          <m:t>2∙</m:t>
        </m:r>
        <m:r>
          <w:rPr>
            <w:rFonts w:ascii="Cambria Math" w:hAnsi="Cambria Math"/>
          </w:rPr>
          <m:t>X</m:t>
        </m:r>
      </m:oMath>
      <w:r w:rsidRPr="00244785">
        <w:rPr>
          <w:rFonts w:eastAsiaTheme="minorEastAsia"/>
          <w:lang w:val="en-US"/>
        </w:rPr>
        <w:t xml:space="preserve"> symbols are used for transmitting the TRS </w:t>
      </w:r>
      <w:r w:rsidRPr="00244785">
        <w:rPr>
          <w:lang w:val="en-US"/>
        </w:rPr>
        <w:t xml:space="preserve">within one 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The total number of slots </w:t>
      </w:r>
      <w:r w:rsidRPr="00244785">
        <w:rPr>
          <w:lang w:val="en-US"/>
        </w:rPr>
        <w:t xml:space="preserve">within one 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is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TRS</m:t>
                </m:r>
              </m:sub>
            </m:sSub>
          </m:num>
          <m:den>
            <m:sSub>
              <m:sSubPr>
                <m:ctrlPr>
                  <w:rPr>
                    <w:rFonts w:ascii="Cambria Math" w:hAnsi="Cambria Math"/>
                    <w:i/>
                  </w:rPr>
                </m:ctrlPr>
              </m:sSubPr>
              <m:e>
                <m:r>
                  <w:rPr>
                    <w:rFonts w:ascii="Cambria Math" w:hAnsi="Cambria Math"/>
                  </w:rPr>
                  <m:t>T</m:t>
                </m:r>
              </m:e>
              <m:sub>
                <m:r>
                  <w:rPr>
                    <w:rFonts w:ascii="Cambria Math" w:hAnsi="Cambria Math"/>
                  </w:rPr>
                  <m:t>symbol</m:t>
                </m:r>
              </m:sub>
            </m:sSub>
          </m:den>
        </m:f>
      </m:oMath>
      <w:r w:rsidRPr="00244785">
        <w:rPr>
          <w:rFonts w:eastAsiaTheme="minorEastAsia"/>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symbol</m:t>
            </m:r>
          </m:sub>
        </m:sSub>
      </m:oMath>
      <w:r w:rsidRPr="00244785">
        <w:rPr>
          <w:rFonts w:eastAsiaTheme="minorEastAsia"/>
          <w:lang w:val="en-US"/>
        </w:rPr>
        <w:t xml:space="preserve"> is the </w:t>
      </w:r>
      <w:r w:rsidRPr="00244785">
        <w:rPr>
          <w:lang w:val="en-US"/>
        </w:rPr>
        <w:t xml:space="preserve">average symbol time (including CP) for numerology </w:t>
      </w:r>
      <w:r w:rsidRPr="00244785">
        <w:rPr>
          <w:i/>
          <w:lang w:val="en-US"/>
        </w:rPr>
        <w:t>n</w:t>
      </w:r>
      <w:r w:rsidRPr="00244785">
        <w:rPr>
          <w:lang w:val="en-US"/>
        </w:rPr>
        <w:t xml:space="preserve">, i.e. </w:t>
      </w:r>
      <m:oMath>
        <m:sSub>
          <m:sSubPr>
            <m:ctrlPr>
              <w:rPr>
                <w:rFonts w:ascii="Cambria Math" w:hAnsi="Cambria Math"/>
                <w:i/>
              </w:rPr>
            </m:ctrlPr>
          </m:sSubPr>
          <m:e>
            <m:r>
              <w:rPr>
                <w:rFonts w:ascii="Cambria Math" w:hAnsi="Cambria Math"/>
              </w:rPr>
              <m:t>T</m:t>
            </m:r>
          </m:e>
          <m:sub>
            <m:r>
              <w:rPr>
                <w:rFonts w:ascii="Cambria Math" w:hAnsi="Cambria Math"/>
              </w:rPr>
              <m:t>symbol</m:t>
            </m:r>
          </m:sub>
        </m:sSub>
        <m:r>
          <w:rPr>
            <w:rFonts w:ascii="Cambria Math" w:hAnsi="Cambria Math"/>
            <w:lang w:val="en-US"/>
          </w:rPr>
          <m:t>=</m:t>
        </m:r>
        <m:f>
          <m:fPr>
            <m:type m:val="lin"/>
            <m:ctrlPr>
              <w:rPr>
                <w:rFonts w:ascii="Cambria Math" w:hAnsi="Cambria Math"/>
                <w:i/>
              </w:rPr>
            </m:ctrlPr>
          </m:fPr>
          <m:num>
            <m:r>
              <w:rPr>
                <w:rFonts w:ascii="Cambria Math" w:hAnsi="Cambria Math"/>
                <w:lang w:val="en-US"/>
              </w:rPr>
              <m:t>1</m:t>
            </m:r>
            <m:r>
              <w:rPr>
                <w:rFonts w:ascii="Cambria Math" w:hAnsi="Cambria Math"/>
              </w:rPr>
              <m:t>ms</m:t>
            </m:r>
          </m:num>
          <m:den>
            <m:r>
              <w:rPr>
                <w:rFonts w:ascii="Cambria Math" w:hAnsi="Cambria Math"/>
                <w:lang w:val="en-US"/>
              </w:rPr>
              <m:t>14∙</m:t>
            </m:r>
            <m:r>
              <w:rPr>
                <w:rFonts w:ascii="Cambria Math" w:hAnsi="Cambria Math"/>
              </w:rPr>
              <m:t>n</m:t>
            </m:r>
          </m:den>
        </m:f>
      </m:oMath>
      <w:r w:rsidRPr="00244785">
        <w:rPr>
          <w:rFonts w:eastAsiaTheme="minorEastAsia"/>
          <w:lang w:val="en-US"/>
        </w:rPr>
        <w:t xml:space="preserve">. </w:t>
      </w:r>
      <w:r w:rsidRPr="00244785">
        <w:rPr>
          <w:lang w:val="en-US"/>
        </w:rPr>
        <w:t xml:space="preserve">The proportion of the OFDM symbols that is used for a TRS’s with slot length </w:t>
      </w:r>
      <w:r w:rsidRPr="00244785">
        <w:rPr>
          <w:i/>
          <w:lang w:val="en-US"/>
        </w:rPr>
        <w:t>X</w:t>
      </w:r>
      <w:r w:rsidRPr="00244785">
        <w:rPr>
          <w:lang w:val="en-US"/>
        </w:rPr>
        <w:t xml:space="preserve"> slots and </w:t>
      </w:r>
      <w:r w:rsidRPr="00244785">
        <w:rPr>
          <w:rFonts w:eastAsiaTheme="minorEastAsia"/>
          <w:lang w:val="en-US"/>
        </w:rPr>
        <w:t xml:space="preserve">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is thus</w:t>
      </w:r>
    </w:p>
    <w:p w14:paraId="1B27F9FD" w14:textId="77777777" w:rsidR="000B389B" w:rsidRPr="00244785" w:rsidRDefault="00935BF0" w:rsidP="000B389B">
      <w:pPr>
        <w:rPr>
          <w:lang w:val="en-US"/>
        </w:rPr>
      </w:pPr>
      <m:oMath>
        <m:sSub>
          <m:sSubPr>
            <m:ctrlPr>
              <w:rPr>
                <w:rFonts w:ascii="Cambria Math" w:hAnsi="Cambria Math"/>
                <w:i/>
              </w:rPr>
            </m:ctrlPr>
          </m:sSubPr>
          <m:e>
            <m:r>
              <w:rPr>
                <w:rFonts w:ascii="Cambria Math" w:hAnsi="Cambria Math"/>
              </w:rPr>
              <m:t>P</m:t>
            </m:r>
          </m:e>
          <m:sub>
            <m:r>
              <w:rPr>
                <w:rFonts w:ascii="Cambria Math" w:hAnsi="Cambria Math"/>
              </w:rPr>
              <m:t>TRS</m:t>
            </m:r>
          </m:sub>
        </m:sSub>
        <m:r>
          <w:rPr>
            <w:rFonts w:ascii="Cambria Math" w:hAnsi="Cambria Math"/>
            <w:lang w:val="en-US"/>
          </w:rPr>
          <m:t>=</m:t>
        </m:r>
        <m:f>
          <m:fPr>
            <m:ctrlPr>
              <w:rPr>
                <w:rFonts w:ascii="Cambria Math" w:hAnsi="Cambria Math"/>
                <w:i/>
              </w:rPr>
            </m:ctrlPr>
          </m:fPr>
          <m:num>
            <m:r>
              <w:rPr>
                <w:rFonts w:ascii="Cambria Math" w:hAnsi="Cambria Math"/>
                <w:lang w:val="en-US"/>
              </w:rPr>
              <m:t>2∙</m:t>
            </m:r>
            <m:r>
              <w:rPr>
                <w:rFonts w:ascii="Cambria Math" w:hAnsi="Cambria Math"/>
              </w:rPr>
              <m:t>X</m:t>
            </m:r>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symbol</m:t>
                </m:r>
              </m:sub>
            </m:sSub>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140∙</m:t>
            </m:r>
            <m:r>
              <w:rPr>
                <w:rFonts w:ascii="Cambria Math" w:hAnsi="Cambria Math"/>
              </w:rPr>
              <m:t>n</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1120</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r>
          <w:rPr>
            <w:rFonts w:ascii="Cambria Math" w:hAnsi="Cambria Math"/>
          </w:rPr>
          <m:t>X</m:t>
        </m:r>
        <m:r>
          <w:rPr>
            <w:rFonts w:ascii="Cambria Math" w:hAnsi="Cambria Math"/>
            <w:lang w:val="en-US"/>
          </w:rPr>
          <m:t>∙0.089%</m:t>
        </m:r>
      </m:oMath>
      <w:r w:rsidR="000B389B" w:rsidRPr="00244785">
        <w:rPr>
          <w:rFonts w:eastAsiaTheme="minorEastAsia"/>
          <w:lang w:val="en-US"/>
        </w:rPr>
        <w:t xml:space="preserve"> ,                               (1)</w:t>
      </w:r>
    </w:p>
    <w:p w14:paraId="67AE2FD5" w14:textId="77777777" w:rsidR="000B389B" w:rsidRPr="00244785" w:rsidRDefault="000B389B" w:rsidP="000B389B">
      <w:pPr>
        <w:rPr>
          <w:rFonts w:eastAsiaTheme="minorEastAsia"/>
          <w:lang w:val="en-US"/>
        </w:rPr>
      </w:pPr>
      <w:r w:rsidRPr="00244785">
        <w:rPr>
          <w:lang w:val="en-US"/>
        </w:rPr>
        <w:t xml:space="preserve">where </w:t>
      </w:r>
      <w:r w:rsidRPr="00244785">
        <w:rPr>
          <w:i/>
          <w:lang w:val="en-US"/>
        </w:rPr>
        <w:t>n</w:t>
      </w:r>
      <w:r w:rsidRPr="00244785">
        <w:rPr>
          <w:lang w:val="en-US"/>
        </w:rPr>
        <w:t xml:space="preserve"> is the numerology, SCS is the subcarrier spacing and we used that  </w:t>
      </w:r>
      <m:oMath>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r>
              <w:rPr>
                <w:rFonts w:ascii="Cambria Math" w:hAnsi="Cambria Math"/>
                <w:lang w:val="en-US"/>
              </w:rPr>
              <m:t>8</m:t>
            </m:r>
          </m:num>
          <m:den>
            <m:r>
              <w:rPr>
                <w:rFonts w:ascii="Cambria Math" w:hAnsi="Cambria Math"/>
              </w:rPr>
              <m:t>n</m:t>
            </m:r>
          </m:den>
        </m:f>
      </m:oMath>
      <w:r w:rsidRPr="00244785">
        <w:rPr>
          <w:rFonts w:eastAsiaTheme="minorEastAsia"/>
          <w:lang w:val="en-US"/>
        </w:rPr>
        <w:t xml:space="preserve"> .</w:t>
      </w:r>
    </w:p>
    <w:p w14:paraId="206DDED0" w14:textId="77777777" w:rsidR="000B389B" w:rsidRPr="00244785" w:rsidRDefault="000B389B" w:rsidP="000B389B">
      <w:pPr>
        <w:rPr>
          <w:rFonts w:eastAsiaTheme="minorEastAsia"/>
          <w:lang w:val="en-US"/>
        </w:rPr>
      </w:pPr>
      <w:r w:rsidRPr="00244785">
        <w:rPr>
          <w:rFonts w:eastAsiaTheme="minorEastAsia"/>
          <w:lang w:val="en-US"/>
        </w:rPr>
        <w:lastRenderedPageBreak/>
        <w:t>Using that the TRS is transmitted with frequency density ¼ we can now calculate the TRS overhead in terms of resource elements as</w:t>
      </w:r>
    </w:p>
    <w:p w14:paraId="3209A2A3" w14:textId="77777777" w:rsidR="000B389B" w:rsidRPr="00244785" w:rsidRDefault="00935BF0" w:rsidP="000B389B">
      <w:pPr>
        <w:rPr>
          <w:rFonts w:eastAsiaTheme="minorEastAsia"/>
          <w:lang w:val="en-US"/>
        </w:rPr>
      </w:pPr>
      <m:oMath>
        <m:sSub>
          <m:sSubPr>
            <m:ctrlPr>
              <w:rPr>
                <w:rFonts w:ascii="Cambria Math" w:hAnsi="Cambria Math"/>
                <w:i/>
              </w:rPr>
            </m:ctrlPr>
          </m:sSubPr>
          <m:e>
            <m:r>
              <w:rPr>
                <w:rFonts w:ascii="Cambria Math" w:hAnsi="Cambria Math"/>
              </w:rPr>
              <m:t>OH</m:t>
            </m:r>
          </m:e>
          <m:sub>
            <m:r>
              <w:rPr>
                <w:rFonts w:ascii="Cambria Math" w:hAnsi="Cambria Math"/>
              </w:rPr>
              <m:t>TRS</m:t>
            </m:r>
          </m:sub>
        </m:sSub>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TRS</m:t>
            </m:r>
          </m:sub>
        </m:sSub>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f>
          <m:fPr>
            <m:ctrlPr>
              <w:rPr>
                <w:rFonts w:ascii="Cambria Math" w:hAnsi="Cambria Math"/>
                <w:i/>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4480</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r>
          <w:rPr>
            <w:rFonts w:ascii="Cambria Math" w:hAnsi="Cambria Math"/>
          </w:rPr>
          <m:t>X</m:t>
        </m:r>
        <m:r>
          <w:rPr>
            <w:rFonts w:ascii="Cambria Math" w:hAnsi="Cambria Math"/>
            <w:lang w:val="en-US"/>
          </w:rPr>
          <m:t>∙0.022%</m:t>
        </m:r>
      </m:oMath>
      <w:r w:rsidR="000B389B" w:rsidRPr="00244785">
        <w:rPr>
          <w:rFonts w:eastAsiaTheme="minorEastAsia"/>
          <w:lang w:val="en-US"/>
        </w:rPr>
        <w:t xml:space="preserve"> , (2)</w:t>
      </w:r>
    </w:p>
    <w:p w14:paraId="36B10F39" w14:textId="77777777" w:rsidR="000B389B" w:rsidRPr="00244785" w:rsidRDefault="000B389B" w:rsidP="000B389B">
      <w:pPr>
        <w:rPr>
          <w:rFonts w:eastAsiaTheme="minorEastAsia"/>
          <w:lang w:val="en-US"/>
        </w:rPr>
      </w:pPr>
      <w:r w:rsidRPr="00244785">
        <w:rPr>
          <w:rFonts w:eastAsiaTheme="minorEastAsia"/>
          <w:lang w:val="en-US"/>
        </w:rPr>
        <w:t xml:space="preserve">where the </w:t>
      </w:r>
      <m:oMath>
        <m:sSub>
          <m:sSubPr>
            <m:ctrlPr>
              <w:rPr>
                <w:rFonts w:ascii="Cambria Math" w:hAnsi="Cambria Math"/>
                <w:i/>
              </w:rPr>
            </m:ctrlPr>
          </m:sSubPr>
          <m:e>
            <m:r>
              <w:rPr>
                <w:rFonts w:ascii="Cambria Math" w:hAnsi="Cambria Math"/>
              </w:rPr>
              <m:t>BW</m:t>
            </m:r>
          </m:e>
          <m:sub>
            <m:r>
              <w:rPr>
                <w:rFonts w:ascii="Cambria Math" w:hAnsi="Cambria Math"/>
              </w:rPr>
              <m:t>TRS</m:t>
            </m:r>
          </m:sub>
        </m:sSub>
        <m:r>
          <w:rPr>
            <w:rFonts w:ascii="Cambria Math" w:hAnsi="Cambria Math"/>
            <w:lang w:val="en-US"/>
          </w:rPr>
          <m:t>=</m:t>
        </m:r>
        <m:r>
          <w:rPr>
            <w:rFonts w:ascii="Cambria Math" w:hAnsi="Cambria Math"/>
          </w:rPr>
          <m:t>min</m:t>
        </m:r>
        <m:d>
          <m:dPr>
            <m:ctrlPr>
              <w:rPr>
                <w:rFonts w:ascii="Cambria Math" w:hAnsi="Cambria Math"/>
                <w:i/>
              </w:rPr>
            </m:ctrlPr>
          </m:dPr>
          <m:e>
            <m:r>
              <w:rPr>
                <w:rFonts w:ascii="Cambria Math" w:hAnsi="Cambria Math"/>
                <w:lang w:val="en-US"/>
              </w:rPr>
              <m:t>50</m:t>
            </m:r>
            <m:r>
              <w:rPr>
                <w:rFonts w:ascii="Cambria Math" w:hAnsi="Cambria Math"/>
              </w:rPr>
              <m:t>RB</m:t>
            </m:r>
            <m:r>
              <w:rPr>
                <w:rFonts w:ascii="Cambria Math" w:hAnsi="Cambria Math"/>
                <w:lang w:val="en-US"/>
              </w:rPr>
              <m:t>,</m:t>
            </m:r>
            <m:r>
              <w:rPr>
                <w:rFonts w:ascii="Cambria Math" w:hAnsi="Cambria Math"/>
              </w:rPr>
              <m:t>BWP</m:t>
            </m:r>
          </m:e>
        </m:d>
      </m:oMath>
      <w:r w:rsidRPr="00244785">
        <w:rPr>
          <w:rFonts w:eastAsiaTheme="minorEastAsia"/>
          <w:lang w:val="en-US"/>
        </w:rPr>
        <w:t xml:space="preserve"> is the TRS bandwidth and </w:t>
      </w:r>
      <m:oMath>
        <m:sSub>
          <m:sSubPr>
            <m:ctrlPr>
              <w:rPr>
                <w:rFonts w:ascii="Cambria Math" w:hAnsi="Cambria Math"/>
                <w:i/>
              </w:rPr>
            </m:ctrlPr>
          </m:sSubPr>
          <m:e>
            <m:r>
              <w:rPr>
                <w:rFonts w:ascii="Cambria Math" w:hAnsi="Cambria Math"/>
              </w:rPr>
              <m:t>BW</m:t>
            </m:r>
          </m:e>
          <m:sub>
            <m:r>
              <w:rPr>
                <w:rFonts w:ascii="Cambria Math" w:hAnsi="Cambria Math"/>
              </w:rPr>
              <m:t>System</m:t>
            </m:r>
          </m:sub>
        </m:sSub>
      </m:oMath>
      <w:r w:rsidRPr="00244785">
        <w:rPr>
          <w:rFonts w:eastAsiaTheme="minorEastAsia"/>
          <w:lang w:val="en-US"/>
        </w:rPr>
        <w:t xml:space="preserve"> is the system bandwidth.</w:t>
      </w:r>
    </w:p>
    <w:p w14:paraId="41A1C68A" w14:textId="77777777" w:rsidR="000B389B" w:rsidRPr="00244785" w:rsidRDefault="000B389B" w:rsidP="000B389B">
      <w:pPr>
        <w:rPr>
          <w:b/>
          <w:i/>
          <w:lang w:val="en-US"/>
        </w:rPr>
      </w:pPr>
      <w:r w:rsidRPr="00244785">
        <w:rPr>
          <w:b/>
          <w:i/>
          <w:lang w:val="en-US"/>
        </w:rPr>
        <w:t>Overhead in terms of resource elements used for DCI scheduled aperiodic TRS’s</w:t>
      </w:r>
    </w:p>
    <w:p w14:paraId="764A64E3" w14:textId="77777777" w:rsidR="000B389B" w:rsidRPr="00244785" w:rsidRDefault="000B389B" w:rsidP="000B389B">
      <w:pPr>
        <w:rPr>
          <w:lang w:val="en-US"/>
        </w:rPr>
      </w:pPr>
      <w:r w:rsidRPr="00244785">
        <w:rPr>
          <w:lang w:val="en-US"/>
        </w:rPr>
        <w:t>The DCI scheduled aperiodic TRS doesn’t result in any analog beamforming related scheduling restrictions since the TRS is transmitted together with downlink data (except for the case of very uplink heavy traffic where a TRS may have to be scheduled even if there is no downlink data to transmit). The TRS does, however, give an overhead in terms of resource element utilization which we will evaluate here.</w:t>
      </w:r>
    </w:p>
    <w:p w14:paraId="1F0D409E" w14:textId="77777777" w:rsidR="000B389B" w:rsidRPr="00244785" w:rsidRDefault="000B389B" w:rsidP="000B389B">
      <w:pPr>
        <w:rPr>
          <w:rFonts w:eastAsiaTheme="minorEastAsia"/>
          <w:lang w:val="en-US"/>
        </w:rPr>
      </w:pPr>
      <w:r w:rsidRPr="00244785">
        <w:rPr>
          <w:lang w:val="en-US"/>
        </w:rPr>
        <w:t xml:space="preserve">We assume that for UE that is scheduled for a downlink data transmission the aperiodic TRS is scheduled if the time since the last TRS transmission to the UE is equal to or larger than </w:t>
      </w:r>
      <w:r w:rsidRPr="00244785">
        <w:rPr>
          <w:rFonts w:eastAsiaTheme="minorEastAsia"/>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Within a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the number of TRS’s that will be transmitted will be equal to the number of different UE’s that are scheduled with downlink within the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The TRS overhead will thus be the same as the TRS overhead for a periodic TRS with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multiplied with the number of different UE’s that are scheduled with downlink within the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i.e.</w:t>
      </w:r>
    </w:p>
    <w:p w14:paraId="5A74B375" w14:textId="77777777" w:rsidR="000B389B" w:rsidRPr="00244785" w:rsidRDefault="00935BF0" w:rsidP="000B389B">
      <w:pPr>
        <w:rPr>
          <w:rFonts w:eastAsiaTheme="minorEastAsia"/>
          <w:lang w:val="en-US"/>
        </w:rPr>
      </w:pPr>
      <m:oMath>
        <m:sSub>
          <m:sSubPr>
            <m:ctrlPr>
              <w:rPr>
                <w:rFonts w:ascii="Cambria Math" w:hAnsi="Cambria Math"/>
                <w:i/>
              </w:rPr>
            </m:ctrlPr>
          </m:sSubPr>
          <m:e>
            <m:r>
              <w:rPr>
                <w:rFonts w:ascii="Cambria Math" w:hAnsi="Cambria Math"/>
              </w:rPr>
              <m:t>OH</m:t>
            </m:r>
          </m:e>
          <m:sub>
            <m:r>
              <w:rPr>
                <w:rFonts w:ascii="Cambria Math" w:hAnsi="Cambria Math"/>
              </w:rPr>
              <m:t>AperiodicTRS</m:t>
            </m:r>
          </m:sub>
        </m:sSub>
        <m:r>
          <w:rPr>
            <w:rFonts w:ascii="Cambria Math" w:hAnsi="Cambria Math"/>
            <w:lang w:val="en-US"/>
          </w:rPr>
          <m:t>=</m:t>
        </m:r>
        <m:sSub>
          <m:sSubPr>
            <m:ctrlPr>
              <w:rPr>
                <w:rFonts w:ascii="Cambria Math" w:hAnsi="Cambria Math"/>
                <w:i/>
              </w:rPr>
            </m:ctrlPr>
          </m:sSubPr>
          <m:e>
            <m:r>
              <w:rPr>
                <w:rFonts w:ascii="Cambria Math" w:hAnsi="Cambria Math"/>
              </w:rPr>
              <m:t>b</m:t>
            </m:r>
            <m:r>
              <w:rPr>
                <w:rFonts w:ascii="Cambria Math" w:hAnsi="Cambria Math"/>
                <w:lang w:val="en-US"/>
              </w:rPr>
              <m:t>∙</m:t>
            </m:r>
            <m:r>
              <w:rPr>
                <w:rFonts w:ascii="Cambria Math" w:hAnsi="Cambria Math"/>
              </w:rPr>
              <m:t>OH</m:t>
            </m:r>
          </m:e>
          <m:sub>
            <m:r>
              <w:rPr>
                <w:rFonts w:ascii="Cambria Math" w:hAnsi="Cambria Math"/>
              </w:rPr>
              <m:t>TRS</m:t>
            </m:r>
          </m:sub>
        </m:sSub>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X</m:t>
        </m:r>
        <m:r>
          <w:rPr>
            <w:rFonts w:ascii="Cambria Math" w:hAnsi="Cambria Math"/>
            <w:lang w:val="en-US"/>
          </w:rPr>
          <m:t>∙0.022%</m:t>
        </m:r>
      </m:oMath>
      <w:r w:rsidR="000B389B" w:rsidRPr="00244785">
        <w:rPr>
          <w:rFonts w:eastAsiaTheme="minorEastAsia"/>
          <w:lang w:val="en-US"/>
        </w:rPr>
        <w:t>,                                                      (3)</w:t>
      </w:r>
    </w:p>
    <w:p w14:paraId="4A1562F9" w14:textId="77777777" w:rsidR="000B389B" w:rsidRPr="00244785" w:rsidRDefault="000B389B" w:rsidP="000B389B">
      <w:pPr>
        <w:rPr>
          <w:rFonts w:eastAsiaTheme="minorEastAsia"/>
          <w:lang w:val="en-US"/>
        </w:rPr>
      </w:pPr>
      <w:r w:rsidRPr="00244785">
        <w:rPr>
          <w:rFonts w:eastAsiaTheme="minorEastAsia"/>
          <w:lang w:val="en-US"/>
        </w:rPr>
        <w:t xml:space="preserve">where b is the average number of different UE’s scheduled within a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w:t>
      </w:r>
    </w:p>
    <w:p w14:paraId="3182D1A2" w14:textId="77777777" w:rsidR="000B389B" w:rsidRPr="00244785" w:rsidRDefault="000B389B" w:rsidP="000B389B">
      <w:pPr>
        <w:rPr>
          <w:rFonts w:eastAsiaTheme="minorEastAsia"/>
          <w:lang w:val="en-US"/>
        </w:rPr>
      </w:pPr>
    </w:p>
    <w:p w14:paraId="1C80A4E3" w14:textId="77777777" w:rsidR="00347233" w:rsidRPr="00347233" w:rsidRDefault="00347233" w:rsidP="00251916"/>
    <w:sectPr w:rsidR="00347233" w:rsidRPr="00347233"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07957" w14:textId="77777777" w:rsidR="00935BF0" w:rsidRDefault="00935BF0">
      <w:r>
        <w:separator/>
      </w:r>
    </w:p>
  </w:endnote>
  <w:endnote w:type="continuationSeparator" w:id="0">
    <w:p w14:paraId="0F4937A9" w14:textId="77777777" w:rsidR="00935BF0" w:rsidRDefault="0093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B8519" w14:textId="77777777" w:rsidR="00935BF0" w:rsidRDefault="00935BF0">
      <w:r>
        <w:separator/>
      </w:r>
    </w:p>
  </w:footnote>
  <w:footnote w:type="continuationSeparator" w:id="0">
    <w:p w14:paraId="49BA2114" w14:textId="77777777" w:rsidR="00935BF0" w:rsidRDefault="00935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6F3C"/>
    <w:multiLevelType w:val="hybridMultilevel"/>
    <w:tmpl w:val="5002B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53C5DF6"/>
    <w:multiLevelType w:val="hybridMultilevel"/>
    <w:tmpl w:val="D4044D24"/>
    <w:lvl w:ilvl="0" w:tplc="D258F6F8">
      <w:start w:val="1"/>
      <w:numFmt w:val="bullet"/>
      <w:lvlText w:val="›"/>
      <w:lvlJc w:val="left"/>
      <w:pPr>
        <w:tabs>
          <w:tab w:val="num" w:pos="720"/>
        </w:tabs>
        <w:ind w:left="720" w:hanging="360"/>
      </w:pPr>
      <w:rPr>
        <w:rFonts w:ascii="Arial" w:hAnsi="Arial" w:hint="default"/>
      </w:rPr>
    </w:lvl>
    <w:lvl w:ilvl="1" w:tplc="463869E6" w:tentative="1">
      <w:start w:val="1"/>
      <w:numFmt w:val="bullet"/>
      <w:lvlText w:val="›"/>
      <w:lvlJc w:val="left"/>
      <w:pPr>
        <w:tabs>
          <w:tab w:val="num" w:pos="1440"/>
        </w:tabs>
        <w:ind w:left="1440" w:hanging="360"/>
      </w:pPr>
      <w:rPr>
        <w:rFonts w:ascii="Arial" w:hAnsi="Arial" w:hint="default"/>
      </w:rPr>
    </w:lvl>
    <w:lvl w:ilvl="2" w:tplc="3B7A357A" w:tentative="1">
      <w:start w:val="1"/>
      <w:numFmt w:val="bullet"/>
      <w:lvlText w:val="›"/>
      <w:lvlJc w:val="left"/>
      <w:pPr>
        <w:tabs>
          <w:tab w:val="num" w:pos="2160"/>
        </w:tabs>
        <w:ind w:left="2160" w:hanging="360"/>
      </w:pPr>
      <w:rPr>
        <w:rFonts w:ascii="Arial" w:hAnsi="Arial" w:hint="default"/>
      </w:rPr>
    </w:lvl>
    <w:lvl w:ilvl="3" w:tplc="F42E10FE" w:tentative="1">
      <w:start w:val="1"/>
      <w:numFmt w:val="bullet"/>
      <w:lvlText w:val="›"/>
      <w:lvlJc w:val="left"/>
      <w:pPr>
        <w:tabs>
          <w:tab w:val="num" w:pos="2880"/>
        </w:tabs>
        <w:ind w:left="2880" w:hanging="360"/>
      </w:pPr>
      <w:rPr>
        <w:rFonts w:ascii="Arial" w:hAnsi="Arial" w:hint="default"/>
      </w:rPr>
    </w:lvl>
    <w:lvl w:ilvl="4" w:tplc="290050C2" w:tentative="1">
      <w:start w:val="1"/>
      <w:numFmt w:val="bullet"/>
      <w:lvlText w:val="›"/>
      <w:lvlJc w:val="left"/>
      <w:pPr>
        <w:tabs>
          <w:tab w:val="num" w:pos="3600"/>
        </w:tabs>
        <w:ind w:left="3600" w:hanging="360"/>
      </w:pPr>
      <w:rPr>
        <w:rFonts w:ascii="Arial" w:hAnsi="Arial" w:hint="default"/>
      </w:rPr>
    </w:lvl>
    <w:lvl w:ilvl="5" w:tplc="75F4A31E" w:tentative="1">
      <w:start w:val="1"/>
      <w:numFmt w:val="bullet"/>
      <w:lvlText w:val="›"/>
      <w:lvlJc w:val="left"/>
      <w:pPr>
        <w:tabs>
          <w:tab w:val="num" w:pos="4320"/>
        </w:tabs>
        <w:ind w:left="4320" w:hanging="360"/>
      </w:pPr>
      <w:rPr>
        <w:rFonts w:ascii="Arial" w:hAnsi="Arial" w:hint="default"/>
      </w:rPr>
    </w:lvl>
    <w:lvl w:ilvl="6" w:tplc="50DEE8EA" w:tentative="1">
      <w:start w:val="1"/>
      <w:numFmt w:val="bullet"/>
      <w:lvlText w:val="›"/>
      <w:lvlJc w:val="left"/>
      <w:pPr>
        <w:tabs>
          <w:tab w:val="num" w:pos="5040"/>
        </w:tabs>
        <w:ind w:left="5040" w:hanging="360"/>
      </w:pPr>
      <w:rPr>
        <w:rFonts w:ascii="Arial" w:hAnsi="Arial" w:hint="default"/>
      </w:rPr>
    </w:lvl>
    <w:lvl w:ilvl="7" w:tplc="FBF6BE8E" w:tentative="1">
      <w:start w:val="1"/>
      <w:numFmt w:val="bullet"/>
      <w:lvlText w:val="›"/>
      <w:lvlJc w:val="left"/>
      <w:pPr>
        <w:tabs>
          <w:tab w:val="num" w:pos="5760"/>
        </w:tabs>
        <w:ind w:left="5760" w:hanging="360"/>
      </w:pPr>
      <w:rPr>
        <w:rFonts w:ascii="Arial" w:hAnsi="Arial" w:hint="default"/>
      </w:rPr>
    </w:lvl>
    <w:lvl w:ilvl="8" w:tplc="F8FA37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B9672D"/>
    <w:multiLevelType w:val="hybridMultilevel"/>
    <w:tmpl w:val="1346D7B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EB43EA"/>
    <w:multiLevelType w:val="hybridMultilevel"/>
    <w:tmpl w:val="72243A46"/>
    <w:lvl w:ilvl="0" w:tplc="22103C44">
      <w:start w:val="1"/>
      <w:numFmt w:val="bullet"/>
      <w:lvlText w:val="›"/>
      <w:lvlJc w:val="left"/>
      <w:pPr>
        <w:tabs>
          <w:tab w:val="num" w:pos="720"/>
        </w:tabs>
        <w:ind w:left="720" w:hanging="360"/>
      </w:pPr>
      <w:rPr>
        <w:rFonts w:ascii="Arial" w:hAnsi="Arial" w:hint="default"/>
      </w:rPr>
    </w:lvl>
    <w:lvl w:ilvl="1" w:tplc="9024322A">
      <w:start w:val="35"/>
      <w:numFmt w:val="bullet"/>
      <w:lvlText w:val="–"/>
      <w:lvlJc w:val="left"/>
      <w:pPr>
        <w:tabs>
          <w:tab w:val="num" w:pos="1440"/>
        </w:tabs>
        <w:ind w:left="1440" w:hanging="360"/>
      </w:pPr>
      <w:rPr>
        <w:rFonts w:ascii="Ericsson Capital TT" w:hAnsi="Ericsson Capital TT" w:hint="default"/>
      </w:rPr>
    </w:lvl>
    <w:lvl w:ilvl="2" w:tplc="057E3120" w:tentative="1">
      <w:start w:val="1"/>
      <w:numFmt w:val="bullet"/>
      <w:lvlText w:val="›"/>
      <w:lvlJc w:val="left"/>
      <w:pPr>
        <w:tabs>
          <w:tab w:val="num" w:pos="2160"/>
        </w:tabs>
        <w:ind w:left="2160" w:hanging="360"/>
      </w:pPr>
      <w:rPr>
        <w:rFonts w:ascii="Arial" w:hAnsi="Arial" w:hint="default"/>
      </w:rPr>
    </w:lvl>
    <w:lvl w:ilvl="3" w:tplc="F944341E" w:tentative="1">
      <w:start w:val="1"/>
      <w:numFmt w:val="bullet"/>
      <w:lvlText w:val="›"/>
      <w:lvlJc w:val="left"/>
      <w:pPr>
        <w:tabs>
          <w:tab w:val="num" w:pos="2880"/>
        </w:tabs>
        <w:ind w:left="2880" w:hanging="360"/>
      </w:pPr>
      <w:rPr>
        <w:rFonts w:ascii="Arial" w:hAnsi="Arial" w:hint="default"/>
      </w:rPr>
    </w:lvl>
    <w:lvl w:ilvl="4" w:tplc="D61A49B8" w:tentative="1">
      <w:start w:val="1"/>
      <w:numFmt w:val="bullet"/>
      <w:lvlText w:val="›"/>
      <w:lvlJc w:val="left"/>
      <w:pPr>
        <w:tabs>
          <w:tab w:val="num" w:pos="3600"/>
        </w:tabs>
        <w:ind w:left="3600" w:hanging="360"/>
      </w:pPr>
      <w:rPr>
        <w:rFonts w:ascii="Arial" w:hAnsi="Arial" w:hint="default"/>
      </w:rPr>
    </w:lvl>
    <w:lvl w:ilvl="5" w:tplc="A0CC5DE0" w:tentative="1">
      <w:start w:val="1"/>
      <w:numFmt w:val="bullet"/>
      <w:lvlText w:val="›"/>
      <w:lvlJc w:val="left"/>
      <w:pPr>
        <w:tabs>
          <w:tab w:val="num" w:pos="4320"/>
        </w:tabs>
        <w:ind w:left="4320" w:hanging="360"/>
      </w:pPr>
      <w:rPr>
        <w:rFonts w:ascii="Arial" w:hAnsi="Arial" w:hint="default"/>
      </w:rPr>
    </w:lvl>
    <w:lvl w:ilvl="6" w:tplc="F31879D8" w:tentative="1">
      <w:start w:val="1"/>
      <w:numFmt w:val="bullet"/>
      <w:lvlText w:val="›"/>
      <w:lvlJc w:val="left"/>
      <w:pPr>
        <w:tabs>
          <w:tab w:val="num" w:pos="5040"/>
        </w:tabs>
        <w:ind w:left="5040" w:hanging="360"/>
      </w:pPr>
      <w:rPr>
        <w:rFonts w:ascii="Arial" w:hAnsi="Arial" w:hint="default"/>
      </w:rPr>
    </w:lvl>
    <w:lvl w:ilvl="7" w:tplc="F2F65972" w:tentative="1">
      <w:start w:val="1"/>
      <w:numFmt w:val="bullet"/>
      <w:lvlText w:val="›"/>
      <w:lvlJc w:val="left"/>
      <w:pPr>
        <w:tabs>
          <w:tab w:val="num" w:pos="5760"/>
        </w:tabs>
        <w:ind w:left="5760" w:hanging="360"/>
      </w:pPr>
      <w:rPr>
        <w:rFonts w:ascii="Arial" w:hAnsi="Arial" w:hint="default"/>
      </w:rPr>
    </w:lvl>
    <w:lvl w:ilvl="8" w:tplc="E304C1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121227"/>
    <w:multiLevelType w:val="hybridMultilevel"/>
    <w:tmpl w:val="3FCCF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7596E"/>
    <w:multiLevelType w:val="hybridMultilevel"/>
    <w:tmpl w:val="4E406F6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F5486"/>
    <w:multiLevelType w:val="hybridMultilevel"/>
    <w:tmpl w:val="AFAC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8"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9"/>
  </w:num>
  <w:num w:numId="3">
    <w:abstractNumId w:val="22"/>
  </w:num>
  <w:num w:numId="4">
    <w:abstractNumId w:val="23"/>
  </w:num>
  <w:num w:numId="5">
    <w:abstractNumId w:val="17"/>
  </w:num>
  <w:num w:numId="6">
    <w:abstractNumId w:val="25"/>
  </w:num>
  <w:num w:numId="7">
    <w:abstractNumId w:val="31"/>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19"/>
  </w:num>
  <w:num w:numId="15">
    <w:abstractNumId w:val="21"/>
  </w:num>
  <w:num w:numId="16">
    <w:abstractNumId w:val="42"/>
  </w:num>
  <w:num w:numId="17">
    <w:abstractNumId w:val="37"/>
  </w:num>
  <w:num w:numId="18">
    <w:abstractNumId w:val="7"/>
  </w:num>
  <w:num w:numId="19">
    <w:abstractNumId w:val="41"/>
  </w:num>
  <w:num w:numId="20">
    <w:abstractNumId w:val="11"/>
  </w:num>
  <w:num w:numId="21">
    <w:abstractNumId w:val="34"/>
  </w:num>
  <w:num w:numId="22">
    <w:abstractNumId w:val="33"/>
  </w:num>
  <w:num w:numId="23">
    <w:abstractNumId w:val="14"/>
  </w:num>
  <w:num w:numId="24">
    <w:abstractNumId w:val="24"/>
  </w:num>
  <w:num w:numId="25">
    <w:abstractNumId w:val="40"/>
  </w:num>
  <w:num w:numId="26">
    <w:abstractNumId w:val="39"/>
  </w:num>
  <w:num w:numId="27">
    <w:abstractNumId w:val="38"/>
  </w:num>
  <w:num w:numId="28">
    <w:abstractNumId w:val="28"/>
  </w:num>
  <w:num w:numId="29">
    <w:abstractNumId w:val="8"/>
  </w:num>
  <w:num w:numId="30">
    <w:abstractNumId w:val="9"/>
  </w:num>
  <w:num w:numId="31">
    <w:abstractNumId w:val="12"/>
  </w:num>
  <w:num w:numId="32">
    <w:abstractNumId w:val="35"/>
  </w:num>
  <w:num w:numId="33">
    <w:abstractNumId w:val="43"/>
  </w:num>
  <w:num w:numId="34">
    <w:abstractNumId w:val="20"/>
  </w:num>
  <w:num w:numId="35">
    <w:abstractNumId w:val="27"/>
  </w:num>
  <w:num w:numId="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26"/>
  </w:num>
  <w:num w:numId="38">
    <w:abstractNumId w:val="16"/>
  </w:num>
  <w:num w:numId="39">
    <w:abstractNumId w:val="4"/>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num>
  <w:num w:numId="42">
    <w:abstractNumId w:val="10"/>
  </w:num>
  <w:num w:numId="43">
    <w:abstractNumId w:val="36"/>
  </w:num>
  <w:num w:numId="44">
    <w:abstractNumId w:val="32"/>
  </w:num>
  <w:num w:numId="45">
    <w:abstractNumId w:val="13"/>
  </w:num>
  <w:num w:numId="46">
    <w:abstractNumId w:val="5"/>
  </w:num>
  <w:num w:numId="47">
    <w:abstractNumId w:val="22"/>
    <w:lvlOverride w:ilvl="0">
      <w:startOverride w:val="1"/>
    </w:lvlOverride>
  </w:num>
  <w:num w:numId="48">
    <w:abstractNumId w:val="3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5D15"/>
    <w:rsid w:val="00016613"/>
    <w:rsid w:val="00016F17"/>
    <w:rsid w:val="00017ECF"/>
    <w:rsid w:val="00021F7C"/>
    <w:rsid w:val="00022AD0"/>
    <w:rsid w:val="0002564D"/>
    <w:rsid w:val="00025ECA"/>
    <w:rsid w:val="00030B30"/>
    <w:rsid w:val="000325B8"/>
    <w:rsid w:val="00034C15"/>
    <w:rsid w:val="00035802"/>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1EA6"/>
    <w:rsid w:val="00072530"/>
    <w:rsid w:val="000741A9"/>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719"/>
    <w:rsid w:val="000B389B"/>
    <w:rsid w:val="000B3A8F"/>
    <w:rsid w:val="000B4AB9"/>
    <w:rsid w:val="000B58C3"/>
    <w:rsid w:val="000B61E9"/>
    <w:rsid w:val="000B6D5F"/>
    <w:rsid w:val="000C165A"/>
    <w:rsid w:val="000C1AEB"/>
    <w:rsid w:val="000C25AD"/>
    <w:rsid w:val="000C2E19"/>
    <w:rsid w:val="000C4C24"/>
    <w:rsid w:val="000D0D07"/>
    <w:rsid w:val="000D1880"/>
    <w:rsid w:val="000D4797"/>
    <w:rsid w:val="000E0527"/>
    <w:rsid w:val="000E1E92"/>
    <w:rsid w:val="000E77B8"/>
    <w:rsid w:val="000F06D6"/>
    <w:rsid w:val="000F0EB1"/>
    <w:rsid w:val="000F1106"/>
    <w:rsid w:val="000F3BE9"/>
    <w:rsid w:val="000F3F6C"/>
    <w:rsid w:val="000F47C6"/>
    <w:rsid w:val="000F600C"/>
    <w:rsid w:val="000F6D00"/>
    <w:rsid w:val="000F6DF3"/>
    <w:rsid w:val="001005FF"/>
    <w:rsid w:val="0010488A"/>
    <w:rsid w:val="001062FB"/>
    <w:rsid w:val="001063E6"/>
    <w:rsid w:val="001118A8"/>
    <w:rsid w:val="00113CF4"/>
    <w:rsid w:val="001153EA"/>
    <w:rsid w:val="00115643"/>
    <w:rsid w:val="00116765"/>
    <w:rsid w:val="001170AB"/>
    <w:rsid w:val="001219F5"/>
    <w:rsid w:val="00121A20"/>
    <w:rsid w:val="0012377F"/>
    <w:rsid w:val="00124314"/>
    <w:rsid w:val="00126B27"/>
    <w:rsid w:val="00126B4A"/>
    <w:rsid w:val="00127A16"/>
    <w:rsid w:val="00130FE5"/>
    <w:rsid w:val="00132FD0"/>
    <w:rsid w:val="001343DB"/>
    <w:rsid w:val="001344C0"/>
    <w:rsid w:val="001346FA"/>
    <w:rsid w:val="00135252"/>
    <w:rsid w:val="00137AB5"/>
    <w:rsid w:val="00137F0B"/>
    <w:rsid w:val="00140153"/>
    <w:rsid w:val="001425D4"/>
    <w:rsid w:val="00142E84"/>
    <w:rsid w:val="00145654"/>
    <w:rsid w:val="00147EF5"/>
    <w:rsid w:val="00151E23"/>
    <w:rsid w:val="001526E0"/>
    <w:rsid w:val="0015373E"/>
    <w:rsid w:val="00154707"/>
    <w:rsid w:val="001551B5"/>
    <w:rsid w:val="00162F87"/>
    <w:rsid w:val="001659C1"/>
    <w:rsid w:val="0017041B"/>
    <w:rsid w:val="00173A8E"/>
    <w:rsid w:val="001742B8"/>
    <w:rsid w:val="00175F81"/>
    <w:rsid w:val="00177B76"/>
    <w:rsid w:val="0018143F"/>
    <w:rsid w:val="00184B0A"/>
    <w:rsid w:val="00185587"/>
    <w:rsid w:val="00190AC1"/>
    <w:rsid w:val="0019341A"/>
    <w:rsid w:val="00197DF9"/>
    <w:rsid w:val="001A1987"/>
    <w:rsid w:val="001A2564"/>
    <w:rsid w:val="001A43E7"/>
    <w:rsid w:val="001A5E55"/>
    <w:rsid w:val="001A6173"/>
    <w:rsid w:val="001A6CBA"/>
    <w:rsid w:val="001B03F3"/>
    <w:rsid w:val="001B0D97"/>
    <w:rsid w:val="001B5A5D"/>
    <w:rsid w:val="001C1CE5"/>
    <w:rsid w:val="001C3D2A"/>
    <w:rsid w:val="001C3FC0"/>
    <w:rsid w:val="001C6D57"/>
    <w:rsid w:val="001D0C26"/>
    <w:rsid w:val="001D4B47"/>
    <w:rsid w:val="001D51BA"/>
    <w:rsid w:val="001D56AE"/>
    <w:rsid w:val="001D6342"/>
    <w:rsid w:val="001D6D53"/>
    <w:rsid w:val="001E0DEF"/>
    <w:rsid w:val="001E2560"/>
    <w:rsid w:val="001E5176"/>
    <w:rsid w:val="001E58E2"/>
    <w:rsid w:val="001E7AED"/>
    <w:rsid w:val="001F2DB2"/>
    <w:rsid w:val="001F36BE"/>
    <w:rsid w:val="001F3916"/>
    <w:rsid w:val="001F54C5"/>
    <w:rsid w:val="001F5D72"/>
    <w:rsid w:val="001F662C"/>
    <w:rsid w:val="001F7074"/>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20600"/>
    <w:rsid w:val="00220DD8"/>
    <w:rsid w:val="002224DB"/>
    <w:rsid w:val="00223FCB"/>
    <w:rsid w:val="002252C3"/>
    <w:rsid w:val="00225C54"/>
    <w:rsid w:val="00230765"/>
    <w:rsid w:val="002319E4"/>
    <w:rsid w:val="00233A9F"/>
    <w:rsid w:val="00234CA0"/>
    <w:rsid w:val="00235632"/>
    <w:rsid w:val="00235872"/>
    <w:rsid w:val="00240462"/>
    <w:rsid w:val="00241559"/>
    <w:rsid w:val="002435B3"/>
    <w:rsid w:val="002451ED"/>
    <w:rsid w:val="002458EB"/>
    <w:rsid w:val="002465C9"/>
    <w:rsid w:val="00247E38"/>
    <w:rsid w:val="002500C8"/>
    <w:rsid w:val="00251916"/>
    <w:rsid w:val="00257543"/>
    <w:rsid w:val="002611E7"/>
    <w:rsid w:val="002617E7"/>
    <w:rsid w:val="00264228"/>
    <w:rsid w:val="00264334"/>
    <w:rsid w:val="0026473E"/>
    <w:rsid w:val="002650C6"/>
    <w:rsid w:val="00265BA8"/>
    <w:rsid w:val="00266214"/>
    <w:rsid w:val="00267C83"/>
    <w:rsid w:val="0027144F"/>
    <w:rsid w:val="00271813"/>
    <w:rsid w:val="00271F3A"/>
    <w:rsid w:val="00273278"/>
    <w:rsid w:val="002737F4"/>
    <w:rsid w:val="00277CB7"/>
    <w:rsid w:val="002805F5"/>
    <w:rsid w:val="00280751"/>
    <w:rsid w:val="0028280A"/>
    <w:rsid w:val="00286ACD"/>
    <w:rsid w:val="00287838"/>
    <w:rsid w:val="002907B5"/>
    <w:rsid w:val="0029224C"/>
    <w:rsid w:val="00292EB7"/>
    <w:rsid w:val="00296227"/>
    <w:rsid w:val="00296F44"/>
    <w:rsid w:val="0029777D"/>
    <w:rsid w:val="002A055E"/>
    <w:rsid w:val="002A1D4E"/>
    <w:rsid w:val="002A2869"/>
    <w:rsid w:val="002A4F9F"/>
    <w:rsid w:val="002B1994"/>
    <w:rsid w:val="002B1A1F"/>
    <w:rsid w:val="002B1EFF"/>
    <w:rsid w:val="002B24D6"/>
    <w:rsid w:val="002B6176"/>
    <w:rsid w:val="002C0280"/>
    <w:rsid w:val="002C0B86"/>
    <w:rsid w:val="002C1610"/>
    <w:rsid w:val="002C41E6"/>
    <w:rsid w:val="002C4CEA"/>
    <w:rsid w:val="002D071A"/>
    <w:rsid w:val="002D34B2"/>
    <w:rsid w:val="002D43C7"/>
    <w:rsid w:val="002D5A9A"/>
    <w:rsid w:val="002D7637"/>
    <w:rsid w:val="002E093B"/>
    <w:rsid w:val="002E17F2"/>
    <w:rsid w:val="002E5B7A"/>
    <w:rsid w:val="002E6401"/>
    <w:rsid w:val="002E72A7"/>
    <w:rsid w:val="002E7CAE"/>
    <w:rsid w:val="002F0C55"/>
    <w:rsid w:val="002F17C3"/>
    <w:rsid w:val="002F2771"/>
    <w:rsid w:val="002F2FE8"/>
    <w:rsid w:val="002F37A9"/>
    <w:rsid w:val="002F6288"/>
    <w:rsid w:val="00301CE6"/>
    <w:rsid w:val="0030256B"/>
    <w:rsid w:val="0030501F"/>
    <w:rsid w:val="00307BA1"/>
    <w:rsid w:val="003108CC"/>
    <w:rsid w:val="00310DE0"/>
    <w:rsid w:val="00311702"/>
    <w:rsid w:val="00311E82"/>
    <w:rsid w:val="00312E33"/>
    <w:rsid w:val="00313FD6"/>
    <w:rsid w:val="003143BD"/>
    <w:rsid w:val="003144ED"/>
    <w:rsid w:val="00315B12"/>
    <w:rsid w:val="003203ED"/>
    <w:rsid w:val="003212B8"/>
    <w:rsid w:val="00321A94"/>
    <w:rsid w:val="00322C9F"/>
    <w:rsid w:val="00322F83"/>
    <w:rsid w:val="00323BBF"/>
    <w:rsid w:val="00324D23"/>
    <w:rsid w:val="0032713F"/>
    <w:rsid w:val="00327997"/>
    <w:rsid w:val="00331751"/>
    <w:rsid w:val="00331846"/>
    <w:rsid w:val="00331B7B"/>
    <w:rsid w:val="00334579"/>
    <w:rsid w:val="00335858"/>
    <w:rsid w:val="00336014"/>
    <w:rsid w:val="00336BDA"/>
    <w:rsid w:val="00341900"/>
    <w:rsid w:val="00341FEB"/>
    <w:rsid w:val="00342BD7"/>
    <w:rsid w:val="00346DB5"/>
    <w:rsid w:val="00346E10"/>
    <w:rsid w:val="00347233"/>
    <w:rsid w:val="003474E4"/>
    <w:rsid w:val="003477B1"/>
    <w:rsid w:val="00356A14"/>
    <w:rsid w:val="00357380"/>
    <w:rsid w:val="003602D9"/>
    <w:rsid w:val="003604CE"/>
    <w:rsid w:val="0036056F"/>
    <w:rsid w:val="00362946"/>
    <w:rsid w:val="00364E64"/>
    <w:rsid w:val="00370E47"/>
    <w:rsid w:val="003713A5"/>
    <w:rsid w:val="003742AC"/>
    <w:rsid w:val="00374ADB"/>
    <w:rsid w:val="003773A8"/>
    <w:rsid w:val="003773D1"/>
    <w:rsid w:val="00377CE1"/>
    <w:rsid w:val="003802D7"/>
    <w:rsid w:val="00380BA4"/>
    <w:rsid w:val="00385BF0"/>
    <w:rsid w:val="00386FE5"/>
    <w:rsid w:val="003904DB"/>
    <w:rsid w:val="003939FF"/>
    <w:rsid w:val="003941EA"/>
    <w:rsid w:val="003947C2"/>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64E"/>
    <w:rsid w:val="003D109F"/>
    <w:rsid w:val="003D2275"/>
    <w:rsid w:val="003D2478"/>
    <w:rsid w:val="003D3C45"/>
    <w:rsid w:val="003D3E76"/>
    <w:rsid w:val="003D4098"/>
    <w:rsid w:val="003D5B1F"/>
    <w:rsid w:val="003E15FA"/>
    <w:rsid w:val="003E55E4"/>
    <w:rsid w:val="003E74E3"/>
    <w:rsid w:val="003E7670"/>
    <w:rsid w:val="003F05C7"/>
    <w:rsid w:val="003F19C1"/>
    <w:rsid w:val="003F1C2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620E"/>
    <w:rsid w:val="00437447"/>
    <w:rsid w:val="00441782"/>
    <w:rsid w:val="00441A92"/>
    <w:rsid w:val="00444F56"/>
    <w:rsid w:val="00446488"/>
    <w:rsid w:val="00447DE1"/>
    <w:rsid w:val="00450B45"/>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B94"/>
    <w:rsid w:val="004A347A"/>
    <w:rsid w:val="004A5B39"/>
    <w:rsid w:val="004A737A"/>
    <w:rsid w:val="004B306B"/>
    <w:rsid w:val="004B7C0C"/>
    <w:rsid w:val="004C36AD"/>
    <w:rsid w:val="004C3898"/>
    <w:rsid w:val="004D022B"/>
    <w:rsid w:val="004D36B1"/>
    <w:rsid w:val="004D4F17"/>
    <w:rsid w:val="004D5974"/>
    <w:rsid w:val="004D59EF"/>
    <w:rsid w:val="004D60BD"/>
    <w:rsid w:val="004D7EBD"/>
    <w:rsid w:val="004E0476"/>
    <w:rsid w:val="004E246C"/>
    <w:rsid w:val="004E2680"/>
    <w:rsid w:val="004E28F9"/>
    <w:rsid w:val="004E462E"/>
    <w:rsid w:val="004E56DC"/>
    <w:rsid w:val="004E6A85"/>
    <w:rsid w:val="004E76F4"/>
    <w:rsid w:val="004F032D"/>
    <w:rsid w:val="004F0659"/>
    <w:rsid w:val="004F0B4E"/>
    <w:rsid w:val="004F0B6C"/>
    <w:rsid w:val="004F2078"/>
    <w:rsid w:val="004F368A"/>
    <w:rsid w:val="004F4DA3"/>
    <w:rsid w:val="004F53FD"/>
    <w:rsid w:val="004F6CB9"/>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34755"/>
    <w:rsid w:val="00534B59"/>
    <w:rsid w:val="00534E6D"/>
    <w:rsid w:val="00536759"/>
    <w:rsid w:val="00537C62"/>
    <w:rsid w:val="0054282F"/>
    <w:rsid w:val="00546774"/>
    <w:rsid w:val="00546970"/>
    <w:rsid w:val="00550442"/>
    <w:rsid w:val="00554192"/>
    <w:rsid w:val="00554D21"/>
    <w:rsid w:val="00554E19"/>
    <w:rsid w:val="00555386"/>
    <w:rsid w:val="0056121F"/>
    <w:rsid w:val="005627B2"/>
    <w:rsid w:val="00565404"/>
    <w:rsid w:val="00572505"/>
    <w:rsid w:val="00573920"/>
    <w:rsid w:val="00573C3B"/>
    <w:rsid w:val="00573CFD"/>
    <w:rsid w:val="00573D3D"/>
    <w:rsid w:val="00575DA6"/>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4BE1"/>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165"/>
    <w:rsid w:val="005D1602"/>
    <w:rsid w:val="005D1746"/>
    <w:rsid w:val="005D321A"/>
    <w:rsid w:val="005D5882"/>
    <w:rsid w:val="005E385F"/>
    <w:rsid w:val="005E5B81"/>
    <w:rsid w:val="005F2CB1"/>
    <w:rsid w:val="005F3025"/>
    <w:rsid w:val="005F3F57"/>
    <w:rsid w:val="005F618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3A82"/>
    <w:rsid w:val="006741F2"/>
    <w:rsid w:val="00674CC3"/>
    <w:rsid w:val="00675C72"/>
    <w:rsid w:val="006771F9"/>
    <w:rsid w:val="006776D7"/>
    <w:rsid w:val="00680FE2"/>
    <w:rsid w:val="00681003"/>
    <w:rsid w:val="006817C9"/>
    <w:rsid w:val="00683ECE"/>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30FB"/>
    <w:rsid w:val="006B50CF"/>
    <w:rsid w:val="006B717E"/>
    <w:rsid w:val="006B7B17"/>
    <w:rsid w:val="006B7C04"/>
    <w:rsid w:val="006C03B8"/>
    <w:rsid w:val="006C5EC9"/>
    <w:rsid w:val="006C6059"/>
    <w:rsid w:val="006C6DC1"/>
    <w:rsid w:val="006C7522"/>
    <w:rsid w:val="006D21ED"/>
    <w:rsid w:val="006D27AF"/>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549"/>
    <w:rsid w:val="006E7D3B"/>
    <w:rsid w:val="006F0C95"/>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E83"/>
    <w:rsid w:val="007227B2"/>
    <w:rsid w:val="0072663A"/>
    <w:rsid w:val="00726EA6"/>
    <w:rsid w:val="00727208"/>
    <w:rsid w:val="00727680"/>
    <w:rsid w:val="007320B8"/>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50B2"/>
    <w:rsid w:val="007571E1"/>
    <w:rsid w:val="007604B2"/>
    <w:rsid w:val="00761B49"/>
    <w:rsid w:val="0076299E"/>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1CB3"/>
    <w:rsid w:val="007A306F"/>
    <w:rsid w:val="007A321A"/>
    <w:rsid w:val="007A43A6"/>
    <w:rsid w:val="007A58A6"/>
    <w:rsid w:val="007A5B38"/>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7091"/>
    <w:rsid w:val="007F0677"/>
    <w:rsid w:val="007F072E"/>
    <w:rsid w:val="007F13C4"/>
    <w:rsid w:val="007F75D5"/>
    <w:rsid w:val="00803122"/>
    <w:rsid w:val="00803FAE"/>
    <w:rsid w:val="008054E8"/>
    <w:rsid w:val="00805AB5"/>
    <w:rsid w:val="0080605F"/>
    <w:rsid w:val="00806EE7"/>
    <w:rsid w:val="00807786"/>
    <w:rsid w:val="008079B6"/>
    <w:rsid w:val="00810A3F"/>
    <w:rsid w:val="008112E8"/>
    <w:rsid w:val="00811B55"/>
    <w:rsid w:val="00811FCB"/>
    <w:rsid w:val="00814DF6"/>
    <w:rsid w:val="008158D6"/>
    <w:rsid w:val="00817196"/>
    <w:rsid w:val="008235DB"/>
    <w:rsid w:val="00824AB4"/>
    <w:rsid w:val="00825C42"/>
    <w:rsid w:val="00825D25"/>
    <w:rsid w:val="00827D6F"/>
    <w:rsid w:val="00834689"/>
    <w:rsid w:val="008370EA"/>
    <w:rsid w:val="008376AC"/>
    <w:rsid w:val="008403CE"/>
    <w:rsid w:val="00842EA5"/>
    <w:rsid w:val="008444E8"/>
    <w:rsid w:val="00844E80"/>
    <w:rsid w:val="00846FE7"/>
    <w:rsid w:val="00852BBD"/>
    <w:rsid w:val="00854E76"/>
    <w:rsid w:val="00856911"/>
    <w:rsid w:val="00856AAA"/>
    <w:rsid w:val="00856E89"/>
    <w:rsid w:val="00862B39"/>
    <w:rsid w:val="00865E18"/>
    <w:rsid w:val="00866BC0"/>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94A88"/>
    <w:rsid w:val="00895386"/>
    <w:rsid w:val="008A1D9D"/>
    <w:rsid w:val="008A21FF"/>
    <w:rsid w:val="008A2CE2"/>
    <w:rsid w:val="008A30AC"/>
    <w:rsid w:val="008A3CFB"/>
    <w:rsid w:val="008A44B8"/>
    <w:rsid w:val="008A51A8"/>
    <w:rsid w:val="008A54C7"/>
    <w:rsid w:val="008A77D8"/>
    <w:rsid w:val="008B0483"/>
    <w:rsid w:val="008B120C"/>
    <w:rsid w:val="008B4AE9"/>
    <w:rsid w:val="008B51A0"/>
    <w:rsid w:val="008B5268"/>
    <w:rsid w:val="008B592A"/>
    <w:rsid w:val="008B7B5C"/>
    <w:rsid w:val="008C0AD7"/>
    <w:rsid w:val="008C0C99"/>
    <w:rsid w:val="008C2017"/>
    <w:rsid w:val="008C2913"/>
    <w:rsid w:val="008C4958"/>
    <w:rsid w:val="008C4BAA"/>
    <w:rsid w:val="008C5641"/>
    <w:rsid w:val="008C6AE8"/>
    <w:rsid w:val="008C7573"/>
    <w:rsid w:val="008D10E2"/>
    <w:rsid w:val="008D2BA4"/>
    <w:rsid w:val="008D34F1"/>
    <w:rsid w:val="008D39D8"/>
    <w:rsid w:val="008D6D1A"/>
    <w:rsid w:val="008E065E"/>
    <w:rsid w:val="008E0927"/>
    <w:rsid w:val="008E09D0"/>
    <w:rsid w:val="008E1909"/>
    <w:rsid w:val="008E72EF"/>
    <w:rsid w:val="008F026D"/>
    <w:rsid w:val="008F0EA2"/>
    <w:rsid w:val="008F1EAB"/>
    <w:rsid w:val="008F234C"/>
    <w:rsid w:val="008F33DC"/>
    <w:rsid w:val="008F477F"/>
    <w:rsid w:val="008F68E1"/>
    <w:rsid w:val="00901115"/>
    <w:rsid w:val="00902350"/>
    <w:rsid w:val="0090336B"/>
    <w:rsid w:val="00904CFD"/>
    <w:rsid w:val="009053AA"/>
    <w:rsid w:val="00906939"/>
    <w:rsid w:val="00910B7D"/>
    <w:rsid w:val="00911DFB"/>
    <w:rsid w:val="009139D9"/>
    <w:rsid w:val="00914AD8"/>
    <w:rsid w:val="00916079"/>
    <w:rsid w:val="00916118"/>
    <w:rsid w:val="00917CE9"/>
    <w:rsid w:val="009208D7"/>
    <w:rsid w:val="00920BF2"/>
    <w:rsid w:val="00922010"/>
    <w:rsid w:val="00923793"/>
    <w:rsid w:val="00924DC4"/>
    <w:rsid w:val="00930CC5"/>
    <w:rsid w:val="00931BD9"/>
    <w:rsid w:val="00931E21"/>
    <w:rsid w:val="00935739"/>
    <w:rsid w:val="00935BF0"/>
    <w:rsid w:val="009368F3"/>
    <w:rsid w:val="00936C4A"/>
    <w:rsid w:val="00940AFF"/>
    <w:rsid w:val="00941636"/>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430A"/>
    <w:rsid w:val="009647C7"/>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1FAD"/>
    <w:rsid w:val="009A4210"/>
    <w:rsid w:val="009A462D"/>
    <w:rsid w:val="009A5CBA"/>
    <w:rsid w:val="009A7113"/>
    <w:rsid w:val="009B1F30"/>
    <w:rsid w:val="009B2162"/>
    <w:rsid w:val="009B3AC2"/>
    <w:rsid w:val="009B4DF4"/>
    <w:rsid w:val="009B564E"/>
    <w:rsid w:val="009B5FF0"/>
    <w:rsid w:val="009B7E87"/>
    <w:rsid w:val="009C403E"/>
    <w:rsid w:val="009C6832"/>
    <w:rsid w:val="009D1F11"/>
    <w:rsid w:val="009D3180"/>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F63"/>
    <w:rsid w:val="00A2193B"/>
    <w:rsid w:val="00A2351A"/>
    <w:rsid w:val="00A264A9"/>
    <w:rsid w:val="00A269E0"/>
    <w:rsid w:val="00A27785"/>
    <w:rsid w:val="00A278A1"/>
    <w:rsid w:val="00A30187"/>
    <w:rsid w:val="00A30B29"/>
    <w:rsid w:val="00A33BAA"/>
    <w:rsid w:val="00A3448A"/>
    <w:rsid w:val="00A36297"/>
    <w:rsid w:val="00A41E2B"/>
    <w:rsid w:val="00A4597C"/>
    <w:rsid w:val="00A45B74"/>
    <w:rsid w:val="00A47318"/>
    <w:rsid w:val="00A52E1D"/>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60E9"/>
    <w:rsid w:val="00A761D4"/>
    <w:rsid w:val="00A77EC4"/>
    <w:rsid w:val="00A85C6C"/>
    <w:rsid w:val="00A85EF6"/>
    <w:rsid w:val="00A92879"/>
    <w:rsid w:val="00A9433C"/>
    <w:rsid w:val="00A9442A"/>
    <w:rsid w:val="00AA016F"/>
    <w:rsid w:val="00AA1ED6"/>
    <w:rsid w:val="00AA2151"/>
    <w:rsid w:val="00AA51D6"/>
    <w:rsid w:val="00AA62C4"/>
    <w:rsid w:val="00AB0BC8"/>
    <w:rsid w:val="00AB11CA"/>
    <w:rsid w:val="00AB14D9"/>
    <w:rsid w:val="00AB4AB8"/>
    <w:rsid w:val="00AB655E"/>
    <w:rsid w:val="00AB75E6"/>
    <w:rsid w:val="00AC007F"/>
    <w:rsid w:val="00AC0718"/>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736E"/>
    <w:rsid w:val="00AE7823"/>
    <w:rsid w:val="00AF0198"/>
    <w:rsid w:val="00AF1C2D"/>
    <w:rsid w:val="00AF1C5D"/>
    <w:rsid w:val="00AF42D7"/>
    <w:rsid w:val="00B006FE"/>
    <w:rsid w:val="00B007CB"/>
    <w:rsid w:val="00B01032"/>
    <w:rsid w:val="00B019B2"/>
    <w:rsid w:val="00B01EA9"/>
    <w:rsid w:val="00B02AA9"/>
    <w:rsid w:val="00B02FA3"/>
    <w:rsid w:val="00B03374"/>
    <w:rsid w:val="00B035EB"/>
    <w:rsid w:val="00B05084"/>
    <w:rsid w:val="00B1174B"/>
    <w:rsid w:val="00B157F9"/>
    <w:rsid w:val="00B16AC4"/>
    <w:rsid w:val="00B20256"/>
    <w:rsid w:val="00B20D09"/>
    <w:rsid w:val="00B2763F"/>
    <w:rsid w:val="00B27AAC"/>
    <w:rsid w:val="00B30929"/>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A51"/>
    <w:rsid w:val="00B761E0"/>
    <w:rsid w:val="00B769D8"/>
    <w:rsid w:val="00B81A6C"/>
    <w:rsid w:val="00B84AC6"/>
    <w:rsid w:val="00B853E1"/>
    <w:rsid w:val="00B85DE5"/>
    <w:rsid w:val="00B90F73"/>
    <w:rsid w:val="00B91A6C"/>
    <w:rsid w:val="00B92774"/>
    <w:rsid w:val="00B929E5"/>
    <w:rsid w:val="00B93B59"/>
    <w:rsid w:val="00B9406A"/>
    <w:rsid w:val="00BA2280"/>
    <w:rsid w:val="00BA2A08"/>
    <w:rsid w:val="00BA4847"/>
    <w:rsid w:val="00BA56D2"/>
    <w:rsid w:val="00BA61B7"/>
    <w:rsid w:val="00BA76E0"/>
    <w:rsid w:val="00BB2A25"/>
    <w:rsid w:val="00BB51E9"/>
    <w:rsid w:val="00BC0613"/>
    <w:rsid w:val="00BC0FDC"/>
    <w:rsid w:val="00BC3053"/>
    <w:rsid w:val="00BC324D"/>
    <w:rsid w:val="00BC413C"/>
    <w:rsid w:val="00BC41F8"/>
    <w:rsid w:val="00BC4D2E"/>
    <w:rsid w:val="00BC53ED"/>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5ECC"/>
    <w:rsid w:val="00C279B5"/>
    <w:rsid w:val="00C27C45"/>
    <w:rsid w:val="00C33B33"/>
    <w:rsid w:val="00C3719D"/>
    <w:rsid w:val="00C4445A"/>
    <w:rsid w:val="00C4762D"/>
    <w:rsid w:val="00C47FAC"/>
    <w:rsid w:val="00C54995"/>
    <w:rsid w:val="00C54D41"/>
    <w:rsid w:val="00C60783"/>
    <w:rsid w:val="00C62558"/>
    <w:rsid w:val="00C64644"/>
    <w:rsid w:val="00C64672"/>
    <w:rsid w:val="00C64B37"/>
    <w:rsid w:val="00C70697"/>
    <w:rsid w:val="00C71F71"/>
    <w:rsid w:val="00C72EF4"/>
    <w:rsid w:val="00C73202"/>
    <w:rsid w:val="00C73FA8"/>
    <w:rsid w:val="00C75D2F"/>
    <w:rsid w:val="00C75E8F"/>
    <w:rsid w:val="00C767BE"/>
    <w:rsid w:val="00C76E3C"/>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ED8"/>
    <w:rsid w:val="00CA2417"/>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1354"/>
    <w:rsid w:val="00CF15D7"/>
    <w:rsid w:val="00CF3154"/>
    <w:rsid w:val="00CF3B1F"/>
    <w:rsid w:val="00CF3BF6"/>
    <w:rsid w:val="00CF625B"/>
    <w:rsid w:val="00CF687E"/>
    <w:rsid w:val="00CF74E2"/>
    <w:rsid w:val="00D030F3"/>
    <w:rsid w:val="00D0349B"/>
    <w:rsid w:val="00D049E2"/>
    <w:rsid w:val="00D06D6F"/>
    <w:rsid w:val="00D10249"/>
    <w:rsid w:val="00D115C3"/>
    <w:rsid w:val="00D11897"/>
    <w:rsid w:val="00D13135"/>
    <w:rsid w:val="00D13E4E"/>
    <w:rsid w:val="00D22B56"/>
    <w:rsid w:val="00D239A7"/>
    <w:rsid w:val="00D23CF9"/>
    <w:rsid w:val="00D23F47"/>
    <w:rsid w:val="00D25A53"/>
    <w:rsid w:val="00D25B71"/>
    <w:rsid w:val="00D3338B"/>
    <w:rsid w:val="00D34033"/>
    <w:rsid w:val="00D36309"/>
    <w:rsid w:val="00D36E71"/>
    <w:rsid w:val="00D37D87"/>
    <w:rsid w:val="00D40B33"/>
    <w:rsid w:val="00D4318F"/>
    <w:rsid w:val="00D438BF"/>
    <w:rsid w:val="00D440F8"/>
    <w:rsid w:val="00D46757"/>
    <w:rsid w:val="00D546FF"/>
    <w:rsid w:val="00D54AA7"/>
    <w:rsid w:val="00D54B16"/>
    <w:rsid w:val="00D55AD5"/>
    <w:rsid w:val="00D56F32"/>
    <w:rsid w:val="00D57636"/>
    <w:rsid w:val="00D576CA"/>
    <w:rsid w:val="00D57C7D"/>
    <w:rsid w:val="00D61AF5"/>
    <w:rsid w:val="00D6264C"/>
    <w:rsid w:val="00D62725"/>
    <w:rsid w:val="00D63449"/>
    <w:rsid w:val="00D641A6"/>
    <w:rsid w:val="00D642CA"/>
    <w:rsid w:val="00D652B5"/>
    <w:rsid w:val="00D66155"/>
    <w:rsid w:val="00D67D01"/>
    <w:rsid w:val="00D708B0"/>
    <w:rsid w:val="00D718DE"/>
    <w:rsid w:val="00D71D0A"/>
    <w:rsid w:val="00D7321B"/>
    <w:rsid w:val="00D756B6"/>
    <w:rsid w:val="00D75EA7"/>
    <w:rsid w:val="00D77B1D"/>
    <w:rsid w:val="00D8021F"/>
    <w:rsid w:val="00D80383"/>
    <w:rsid w:val="00D8102F"/>
    <w:rsid w:val="00D823C6"/>
    <w:rsid w:val="00D83594"/>
    <w:rsid w:val="00D86CA3"/>
    <w:rsid w:val="00D871CE"/>
    <w:rsid w:val="00D8741A"/>
    <w:rsid w:val="00D9196D"/>
    <w:rsid w:val="00D92982"/>
    <w:rsid w:val="00D9433E"/>
    <w:rsid w:val="00DA1CF0"/>
    <w:rsid w:val="00DA305E"/>
    <w:rsid w:val="00DA503B"/>
    <w:rsid w:val="00DA5417"/>
    <w:rsid w:val="00DA56E8"/>
    <w:rsid w:val="00DA59C5"/>
    <w:rsid w:val="00DB0A9F"/>
    <w:rsid w:val="00DB377D"/>
    <w:rsid w:val="00DB7696"/>
    <w:rsid w:val="00DC2D36"/>
    <w:rsid w:val="00DC53CC"/>
    <w:rsid w:val="00DC53EF"/>
    <w:rsid w:val="00DE394D"/>
    <w:rsid w:val="00DE47A5"/>
    <w:rsid w:val="00DE5608"/>
    <w:rsid w:val="00DE58D0"/>
    <w:rsid w:val="00DE654F"/>
    <w:rsid w:val="00DF0B6E"/>
    <w:rsid w:val="00DF15E0"/>
    <w:rsid w:val="00DF28E5"/>
    <w:rsid w:val="00DF37A0"/>
    <w:rsid w:val="00DF4D3E"/>
    <w:rsid w:val="00DF6E1C"/>
    <w:rsid w:val="00E02C39"/>
    <w:rsid w:val="00E0559A"/>
    <w:rsid w:val="00E110E7"/>
    <w:rsid w:val="00E11B20"/>
    <w:rsid w:val="00E125FC"/>
    <w:rsid w:val="00E13D62"/>
    <w:rsid w:val="00E1543D"/>
    <w:rsid w:val="00E17FA2"/>
    <w:rsid w:val="00E20D4E"/>
    <w:rsid w:val="00E22330"/>
    <w:rsid w:val="00E231AE"/>
    <w:rsid w:val="00E2584F"/>
    <w:rsid w:val="00E25AEF"/>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52A0"/>
    <w:rsid w:val="00E679E2"/>
    <w:rsid w:val="00E67C51"/>
    <w:rsid w:val="00E707F9"/>
    <w:rsid w:val="00E72284"/>
    <w:rsid w:val="00E72EFC"/>
    <w:rsid w:val="00E758EC"/>
    <w:rsid w:val="00E76E65"/>
    <w:rsid w:val="00E77F4A"/>
    <w:rsid w:val="00E80B4C"/>
    <w:rsid w:val="00E8234C"/>
    <w:rsid w:val="00E83AA9"/>
    <w:rsid w:val="00E85928"/>
    <w:rsid w:val="00E87822"/>
    <w:rsid w:val="00E90395"/>
    <w:rsid w:val="00E90812"/>
    <w:rsid w:val="00E90E49"/>
    <w:rsid w:val="00E917F9"/>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68F"/>
    <w:rsid w:val="00EB1EAA"/>
    <w:rsid w:val="00EB39AA"/>
    <w:rsid w:val="00EB49BD"/>
    <w:rsid w:val="00EB4D80"/>
    <w:rsid w:val="00EB4EA2"/>
    <w:rsid w:val="00EB57E4"/>
    <w:rsid w:val="00EC27C6"/>
    <w:rsid w:val="00EC4207"/>
    <w:rsid w:val="00EC46E3"/>
    <w:rsid w:val="00EC5653"/>
    <w:rsid w:val="00EC71CE"/>
    <w:rsid w:val="00EC77A7"/>
    <w:rsid w:val="00ED1006"/>
    <w:rsid w:val="00ED5E1D"/>
    <w:rsid w:val="00EE29E6"/>
    <w:rsid w:val="00EE59C8"/>
    <w:rsid w:val="00EF025F"/>
    <w:rsid w:val="00EF09B1"/>
    <w:rsid w:val="00EF18FE"/>
    <w:rsid w:val="00EF5787"/>
    <w:rsid w:val="00EF59B8"/>
    <w:rsid w:val="00EF60D0"/>
    <w:rsid w:val="00F00F8D"/>
    <w:rsid w:val="00F02714"/>
    <w:rsid w:val="00F045AA"/>
    <w:rsid w:val="00F0528D"/>
    <w:rsid w:val="00F06C67"/>
    <w:rsid w:val="00F06DFD"/>
    <w:rsid w:val="00F071D1"/>
    <w:rsid w:val="00F07533"/>
    <w:rsid w:val="00F10629"/>
    <w:rsid w:val="00F1189E"/>
    <w:rsid w:val="00F15FA5"/>
    <w:rsid w:val="00F204A3"/>
    <w:rsid w:val="00F209B7"/>
    <w:rsid w:val="00F20C76"/>
    <w:rsid w:val="00F2136A"/>
    <w:rsid w:val="00F2376F"/>
    <w:rsid w:val="00F243D8"/>
    <w:rsid w:val="00F24C49"/>
    <w:rsid w:val="00F25B66"/>
    <w:rsid w:val="00F26BB4"/>
    <w:rsid w:val="00F30828"/>
    <w:rsid w:val="00F313D6"/>
    <w:rsid w:val="00F32F2E"/>
    <w:rsid w:val="00F35EF1"/>
    <w:rsid w:val="00F40F0C"/>
    <w:rsid w:val="00F41D9F"/>
    <w:rsid w:val="00F4766C"/>
    <w:rsid w:val="00F47B0E"/>
    <w:rsid w:val="00F5060E"/>
    <w:rsid w:val="00F507D1"/>
    <w:rsid w:val="00F519CE"/>
    <w:rsid w:val="00F51ADA"/>
    <w:rsid w:val="00F54617"/>
    <w:rsid w:val="00F57C72"/>
    <w:rsid w:val="00F607C5"/>
    <w:rsid w:val="00F60A6E"/>
    <w:rsid w:val="00F60DEA"/>
    <w:rsid w:val="00F62344"/>
    <w:rsid w:val="00F6302A"/>
    <w:rsid w:val="00F64C2B"/>
    <w:rsid w:val="00F651BE"/>
    <w:rsid w:val="00F66B9F"/>
    <w:rsid w:val="00F66BCF"/>
    <w:rsid w:val="00F67D50"/>
    <w:rsid w:val="00F67F53"/>
    <w:rsid w:val="00F703BE"/>
    <w:rsid w:val="00F706CA"/>
    <w:rsid w:val="00F71F69"/>
    <w:rsid w:val="00F72B72"/>
    <w:rsid w:val="00F73190"/>
    <w:rsid w:val="00F74BB9"/>
    <w:rsid w:val="00F74FDE"/>
    <w:rsid w:val="00F75582"/>
    <w:rsid w:val="00F76EFA"/>
    <w:rsid w:val="00F77D4E"/>
    <w:rsid w:val="00F804BE"/>
    <w:rsid w:val="00F817CE"/>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BB7"/>
    <w:rsid w:val="00FA6E88"/>
    <w:rsid w:val="00FA75EC"/>
    <w:rsid w:val="00FB1696"/>
    <w:rsid w:val="00FB29E7"/>
    <w:rsid w:val="00FB4C80"/>
    <w:rsid w:val="00FB6A6A"/>
    <w:rsid w:val="00FB715C"/>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85F"/>
    <w:rsid w:val="00FF18BB"/>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35"/>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NormalWeb">
    <w:name w:val="Normal (Web)"/>
    <w:basedOn w:val="Normal"/>
    <w:uiPriority w:val="99"/>
    <w:semiHidden/>
    <w:unhideWhenUsed/>
    <w:rsid w:val="000B389B"/>
    <w:pPr>
      <w:overflowPunct/>
      <w:autoSpaceDE/>
      <w:autoSpaceDN/>
      <w:adjustRightInd/>
      <w:spacing w:before="100" w:beforeAutospacing="1" w:after="100" w:afterAutospacing="1"/>
      <w:jc w:val="left"/>
      <w:textAlignment w:val="auto"/>
    </w:pPr>
    <w:rPr>
      <w:rFonts w:eastAsiaTheme="minorEastAsia"/>
      <w:sz w:val="24"/>
      <w:szCs w:val="24"/>
      <w:lang w:val="sv-SE" w:eastAsia="en-US"/>
    </w:rPr>
  </w:style>
  <w:style w:type="character" w:styleId="UnresolvedMention">
    <w:name w:val="Unresolved Mention"/>
    <w:basedOn w:val="DefaultParagraphFont"/>
    <w:uiPriority w:val="99"/>
    <w:semiHidden/>
    <w:unhideWhenUsed/>
    <w:rsid w:val="00B9277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D29AD-723E-40B2-BABD-0150BC301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2453</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2018-04-06T09:22:00Z</dcterms:created>
  <dcterms:modified xsi:type="dcterms:W3CDTF">2018-04-06T09:23:00Z</dcterms:modified>
</cp:coreProperties>
</file>